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1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March 31, 2025</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3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1195" w:right="379" w:bottom="1440" w:gutter="0" w:footer="0" w:header="0"/>
        </w:sectPr>
      </w:pP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64" w:lineRule="exact"/>
        <w:rPr>
          <w:sz w:val="24"/>
          <w:szCs w:val="24"/>
          <w:color w:val="auto"/>
        </w:rPr>
      </w:pPr>
    </w:p>
    <w:p>
      <w:pPr>
        <w:sectPr>
          <w:pgSz w:w="11900" w:h="16838" w:orient="portrait"/>
          <w:cols w:equalWidth="0" w:num="2">
            <w:col w:w="7740" w:space="720"/>
            <w:col w:w="2740"/>
          </w:cols>
          <w:pgMar w:left="320" w:top="1195" w:right="37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6920" w:space="720"/>
            <w:col w:w="3560"/>
          </w:cols>
          <w:pgMar w:left="320" w:top="1195" w:right="379" w:bottom="1440" w:gutter="0" w:footer="0" w:header="0"/>
          <w:type w:val="continuous"/>
        </w:sectPr>
      </w:pP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1195" w:right="379" w:bottom="1440" w:gutter="0" w:footer="0" w:header="0"/>
          <w:type w:val="continuous"/>
        </w:sectPr>
      </w:pP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40" w:space="720"/>
            <w:col w:w="1880" w:space="720"/>
            <w:col w:w="3640"/>
          </w:cols>
          <w:pgMar w:left="320" w:top="1195"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680" w:space="720"/>
            <w:col w:w="1940" w:space="720"/>
            <w:col w:w="3140"/>
          </w:cols>
          <w:pgMar w:left="320" w:top="1195" w:right="379" w:bottom="1440" w:gutter="0" w:footer="0" w:header="0"/>
          <w:type w:val="continuous"/>
        </w:sectPr>
      </w:pPr>
    </w:p>
    <w:p>
      <w:pPr>
        <w:spacing w:after="0" w:line="21" w:lineRule="exact"/>
        <w:rPr>
          <w:sz w:val="24"/>
          <w:szCs w:val="24"/>
          <w:color w:val="auto"/>
        </w:rPr>
      </w:pPr>
    </w:p>
    <w:p>
      <w:pPr>
        <w:jc w:val="both"/>
        <w:ind w:right="3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40"/>
        <w:spacing w:after="0" w:line="22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72"/>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5" w:lineRule="exact"/>
        <w:rPr>
          <w:sz w:val="24"/>
          <w:szCs w:val="24"/>
          <w:color w:val="auto"/>
        </w:rPr>
      </w:pPr>
    </w:p>
    <w:p>
      <w:pPr>
        <w:ind w:right="15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May 1, 2025 was 122,170,671.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5" w:right="37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TENABLE HOLDINGS,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13"/>
            <w:vMerge w:val="restart"/>
          </w:tcPr>
          <w:p>
            <w:pPr>
              <w:jc w:val="center"/>
              <w:ind w:right="3400"/>
              <w:spacing w:after="0"/>
              <w:rPr>
                <w:sz w:val="20"/>
                <w:szCs w:val="20"/>
                <w:color w:val="auto"/>
              </w:rPr>
            </w:pPr>
            <w:r>
              <w:rPr>
                <w:rFonts w:ascii="Arial" w:cs="Arial" w:eastAsia="Arial" w:hAnsi="Arial"/>
                <w:sz w:val="18"/>
                <w:szCs w:val="18"/>
                <w:b w:val="1"/>
                <w:bCs w:val="1"/>
                <w:color w:val="0000FF"/>
                <w:w w:val="99"/>
              </w:rPr>
              <w:t>PART I – FINANCIAL INFORMATION</w:t>
            </w:r>
          </w:p>
        </w:tc>
        <w:tc>
          <w:tcPr>
            <w:tcW w:w="42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gridSpan w:val="13"/>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60" w:type="dxa"/>
            <w:vAlign w:val="bottom"/>
            <w:gridSpan w:val="2"/>
          </w:tcPr>
          <w:p>
            <w:pPr>
              <w:spacing w:after="0"/>
              <w:rPr>
                <w:sz w:val="18"/>
                <w:szCs w:val="18"/>
                <w:color w:val="auto"/>
              </w:rPr>
            </w:pPr>
          </w:p>
        </w:tc>
        <w:tc>
          <w:tcPr>
            <w:tcW w:w="1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Financial Statements</w:t>
            </w:r>
          </w:p>
        </w:tc>
        <w:tc>
          <w:tcPr>
            <w:tcW w:w="1480" w:type="dxa"/>
            <w:vAlign w:val="bottom"/>
            <w:gridSpan w:val="8"/>
          </w:tcPr>
          <w:p>
            <w:pPr>
              <w:spacing w:after="0"/>
              <w:rPr>
                <w:sz w:val="18"/>
                <w:szCs w:val="18"/>
                <w:color w:val="auto"/>
              </w:rPr>
            </w:pPr>
          </w:p>
        </w:tc>
        <w:tc>
          <w:tcPr>
            <w:tcW w:w="3040" w:type="dxa"/>
            <w:vAlign w:val="bottom"/>
            <w:tcBorders>
              <w:top w:val="single" w:sz="8" w:color="0000FF"/>
            </w:tcBorders>
            <w:gridSpan w:val="10"/>
          </w:tcPr>
          <w:p>
            <w:pPr>
              <w:spacing w:after="0"/>
              <w:rPr>
                <w:sz w:val="18"/>
                <w:szCs w:val="18"/>
                <w:color w:val="auto"/>
              </w:rPr>
            </w:pPr>
          </w:p>
        </w:tc>
        <w:tc>
          <w:tcPr>
            <w:tcW w:w="3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14"/>
          </w:tcPr>
          <w:p>
            <w:pPr>
              <w:spacing w:after="0"/>
              <w:rPr>
                <w:sz w:val="20"/>
                <w:szCs w:val="20"/>
                <w:color w:val="auto"/>
              </w:rPr>
            </w:pPr>
            <w:r>
              <w:rPr>
                <w:rFonts w:ascii="Arial" w:cs="Arial" w:eastAsia="Arial" w:hAnsi="Arial"/>
                <w:sz w:val="18"/>
                <w:szCs w:val="18"/>
                <w:color w:val="0000FF"/>
                <w:w w:val="98"/>
              </w:rPr>
              <w:t>Consolidated Balance Sheets</w:t>
            </w:r>
          </w:p>
        </w:tc>
        <w:tc>
          <w:tcPr>
            <w:tcW w:w="7280" w:type="dxa"/>
            <w:vAlign w:val="bottom"/>
            <w:gridSpan w:val="17"/>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18"/>
          </w:tcPr>
          <w:p>
            <w:pPr>
              <w:spacing w:after="0"/>
              <w:rPr>
                <w:sz w:val="20"/>
                <w:szCs w:val="20"/>
                <w:color w:val="auto"/>
              </w:rPr>
            </w:pPr>
            <w:r>
              <w:rPr>
                <w:rFonts w:ascii="Arial" w:cs="Arial" w:eastAsia="Arial" w:hAnsi="Arial"/>
                <w:sz w:val="18"/>
                <w:szCs w:val="18"/>
                <w:color w:val="0000FF"/>
                <w:w w:val="99"/>
              </w:rPr>
              <w:t>Consolidated Statements of Operations</w:t>
            </w:r>
          </w:p>
        </w:tc>
        <w:tc>
          <w:tcPr>
            <w:tcW w:w="6500" w:type="dxa"/>
            <w:vAlign w:val="bottom"/>
            <w:gridSpan w:val="13"/>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31"/>
          </w:tcPr>
          <w:p>
            <w:pPr>
              <w:spacing w:after="0"/>
              <w:rPr>
                <w:sz w:val="20"/>
                <w:szCs w:val="20"/>
                <w:color w:val="auto"/>
              </w:rPr>
            </w:pPr>
            <w:r>
              <w:rPr>
                <w:rFonts w:ascii="Arial" w:cs="Arial" w:eastAsia="Arial" w:hAnsi="Arial"/>
                <w:sz w:val="18"/>
                <w:szCs w:val="18"/>
                <w:color w:val="0000FF"/>
              </w:rPr>
              <w:t>Consolidated Statements of Comprehensive Loss</w:t>
            </w:r>
          </w:p>
        </w:tc>
        <w:tc>
          <w:tcPr>
            <w:tcW w:w="180" w:type="dxa"/>
            <w:vAlign w:val="bottom"/>
            <w:gridSpan w:val="2"/>
          </w:tcPr>
          <w:p>
            <w:pPr>
              <w:spacing w:after="0"/>
              <w:rPr>
                <w:sz w:val="20"/>
                <w:szCs w:val="20"/>
                <w:color w:val="auto"/>
              </w:rPr>
            </w:pPr>
            <w:r>
              <w:rPr>
                <w:rFonts w:ascii="Arial" w:cs="Arial" w:eastAsia="Arial" w:hAnsi="Arial"/>
                <w:sz w:val="18"/>
                <w:szCs w:val="18"/>
                <w:color w:val="0000FF"/>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23"/>
          </w:tcPr>
          <w:p>
            <w:pPr>
              <w:spacing w:after="0"/>
              <w:rPr>
                <w:sz w:val="20"/>
                <w:szCs w:val="20"/>
                <w:color w:val="auto"/>
              </w:rPr>
            </w:pPr>
            <w:r>
              <w:rPr>
                <w:rFonts w:ascii="Arial" w:cs="Arial" w:eastAsia="Arial" w:hAnsi="Arial"/>
                <w:sz w:val="18"/>
                <w:szCs w:val="18"/>
                <w:color w:val="0000FF"/>
                <w:w w:val="98"/>
              </w:rPr>
              <w:t>Consolidated Statements of Stockholders' Equity</w:t>
            </w:r>
          </w:p>
        </w:tc>
        <w:tc>
          <w:tcPr>
            <w:tcW w:w="5760" w:type="dxa"/>
            <w:vAlign w:val="bottom"/>
            <w:gridSpan w:val="8"/>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2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5760" w:type="dxa"/>
            <w:vAlign w:val="bottom"/>
            <w:gridSpan w:val="8"/>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22"/>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6140" w:type="dxa"/>
            <w:vAlign w:val="bottom"/>
            <w:gridSpan w:val="9"/>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1.</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Business and Summary of Significant Accounting Policies</w:t>
            </w:r>
          </w:p>
        </w:tc>
        <w:tc>
          <w:tcPr>
            <w:tcW w:w="180" w:type="dxa"/>
            <w:vAlign w:val="bottom"/>
            <w:gridSpan w:val="2"/>
          </w:tcPr>
          <w:p>
            <w:pPr>
              <w:spacing w:after="0"/>
              <w:rPr>
                <w:sz w:val="20"/>
                <w:szCs w:val="20"/>
                <w:color w:val="auto"/>
              </w:rPr>
            </w:pPr>
            <w:r>
              <w:rPr>
                <w:rFonts w:ascii="Arial" w:cs="Arial" w:eastAsia="Arial" w:hAnsi="Arial"/>
                <w:sz w:val="18"/>
                <w:szCs w:val="18"/>
                <w:color w:val="0000FF"/>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2.</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Revenue</w:t>
            </w:r>
          </w:p>
        </w:tc>
        <w:tc>
          <w:tcPr>
            <w:tcW w:w="180" w:type="dxa"/>
            <w:vAlign w:val="bottom"/>
            <w:gridSpan w:val="2"/>
          </w:tcPr>
          <w:p>
            <w:pPr>
              <w:spacing w:after="0"/>
              <w:rPr>
                <w:sz w:val="20"/>
                <w:szCs w:val="20"/>
                <w:color w:val="auto"/>
              </w:rPr>
            </w:pPr>
            <w:r>
              <w:rPr>
                <w:rFonts w:ascii="Arial" w:cs="Arial" w:eastAsia="Arial" w:hAnsi="Arial"/>
                <w:sz w:val="18"/>
                <w:szCs w:val="18"/>
                <w:color w:val="0000FF"/>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3.</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Cash Equivalents and Short-Term Investments</w:t>
            </w:r>
          </w:p>
        </w:tc>
        <w:tc>
          <w:tcPr>
            <w:tcW w:w="420" w:type="dxa"/>
            <w:vAlign w:val="bottom"/>
            <w:gridSpan w:val="3"/>
          </w:tcPr>
          <w:p>
            <w:pPr>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4.</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Fair Value Measurements</w:t>
            </w:r>
          </w:p>
        </w:tc>
        <w:tc>
          <w:tcPr>
            <w:tcW w:w="180" w:type="dxa"/>
            <w:vAlign w:val="bottom"/>
            <w:gridSpan w:val="2"/>
          </w:tcPr>
          <w:p>
            <w:pPr>
              <w:spacing w:after="0"/>
              <w:rPr>
                <w:sz w:val="20"/>
                <w:szCs w:val="20"/>
                <w:color w:val="auto"/>
              </w:rPr>
            </w:pPr>
            <w:r>
              <w:rPr>
                <w:rFonts w:ascii="Arial" w:cs="Arial" w:eastAsia="Arial" w:hAnsi="Arial"/>
                <w:sz w:val="17"/>
                <w:szCs w:val="17"/>
                <w:color w:val="0000FF"/>
                <w:w w:val="73"/>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5.</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Property and Equipment, Net</w:t>
            </w:r>
          </w:p>
        </w:tc>
        <w:tc>
          <w:tcPr>
            <w:tcW w:w="420" w:type="dxa"/>
            <w:vAlign w:val="bottom"/>
            <w:gridSpan w:val="3"/>
          </w:tcPr>
          <w:p>
            <w:pPr>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6.</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Acquisitions, Goodwill and Intangible Assets</w:t>
            </w:r>
          </w:p>
        </w:tc>
        <w:tc>
          <w:tcPr>
            <w:tcW w:w="420" w:type="dxa"/>
            <w:vAlign w:val="bottom"/>
            <w:gridSpan w:val="3"/>
          </w:tcPr>
          <w:p>
            <w:pPr>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7.</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Leases</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8.</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Debt</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9.</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Commitments and Contingencies</w:t>
            </w:r>
          </w:p>
        </w:tc>
        <w:tc>
          <w:tcPr>
            <w:tcW w:w="420" w:type="dxa"/>
            <w:vAlign w:val="bottom"/>
            <w:gridSpan w:val="3"/>
          </w:tcPr>
          <w:p>
            <w:pPr>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16"/>
          </w:tcPr>
          <w:p>
            <w:pPr>
              <w:spacing w:after="0"/>
              <w:rPr>
                <w:sz w:val="20"/>
                <w:szCs w:val="20"/>
                <w:color w:val="auto"/>
              </w:rPr>
            </w:pPr>
            <w:r>
              <w:rPr>
                <w:rFonts w:ascii="Arial" w:cs="Arial" w:eastAsia="Arial" w:hAnsi="Arial"/>
                <w:sz w:val="18"/>
                <w:szCs w:val="18"/>
                <w:color w:val="0000FF"/>
              </w:rPr>
              <w:t>10. Stock-Based Compensation</w:t>
            </w:r>
          </w:p>
        </w:tc>
        <w:tc>
          <w:tcPr>
            <w:tcW w:w="6600" w:type="dxa"/>
            <w:vAlign w:val="bottom"/>
            <w:gridSpan w:val="14"/>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0000FF"/>
              </w:rPr>
              <w:t>11. Income Taxes</w:t>
            </w:r>
          </w:p>
        </w:tc>
        <w:tc>
          <w:tcPr>
            <w:tcW w:w="6920" w:type="dxa"/>
            <w:vAlign w:val="bottom"/>
            <w:gridSpan w:val="15"/>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40" w:type="dxa"/>
            <w:vAlign w:val="bottom"/>
            <w:gridSpan w:val="30"/>
          </w:tcPr>
          <w:p>
            <w:pPr>
              <w:spacing w:after="0"/>
              <w:rPr>
                <w:sz w:val="20"/>
                <w:szCs w:val="20"/>
                <w:color w:val="auto"/>
              </w:rPr>
            </w:pPr>
            <w:r>
              <w:rPr>
                <w:rFonts w:ascii="Arial" w:cs="Arial" w:eastAsia="Arial" w:hAnsi="Arial"/>
                <w:sz w:val="18"/>
                <w:szCs w:val="18"/>
                <w:color w:val="0000FF"/>
              </w:rPr>
              <w:t>12. Net Loss Per Share</w:t>
            </w:r>
          </w:p>
        </w:tc>
        <w:tc>
          <w:tcPr>
            <w:tcW w:w="42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13"/>
          </w:tcPr>
          <w:p>
            <w:pPr>
              <w:spacing w:after="0"/>
              <w:rPr>
                <w:sz w:val="20"/>
                <w:szCs w:val="20"/>
                <w:color w:val="auto"/>
              </w:rPr>
            </w:pPr>
            <w:r>
              <w:rPr>
                <w:rFonts w:ascii="Arial" w:cs="Arial" w:eastAsia="Arial" w:hAnsi="Arial"/>
                <w:sz w:val="18"/>
                <w:szCs w:val="18"/>
                <w:color w:val="0000FF"/>
                <w:w w:val="97"/>
              </w:rPr>
              <w:t>13. Geographic Information</w:t>
            </w:r>
          </w:p>
        </w:tc>
        <w:tc>
          <w:tcPr>
            <w:tcW w:w="7280" w:type="dxa"/>
            <w:vAlign w:val="bottom"/>
            <w:gridSpan w:val="17"/>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360" w:type="dxa"/>
            <w:vAlign w:val="bottom"/>
            <w:gridSpan w:val="2"/>
          </w:tcPr>
          <w:p>
            <w:pPr>
              <w:spacing w:after="0"/>
              <w:rPr>
                <w:sz w:val="24"/>
                <w:szCs w:val="24"/>
                <w:color w:val="auto"/>
              </w:rPr>
            </w:pPr>
          </w:p>
        </w:tc>
        <w:tc>
          <w:tcPr>
            <w:tcW w:w="9640" w:type="dxa"/>
            <w:vAlign w:val="bottom"/>
            <w:gridSpan w:val="3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20" w:type="dxa"/>
            <w:vAlign w:val="bottom"/>
            <w:gridSpan w:val="3"/>
          </w:tcPr>
          <w:p>
            <w:pPr>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360" w:type="dxa"/>
            <w:vAlign w:val="bottom"/>
            <w:gridSpan w:val="2"/>
          </w:tcPr>
          <w:p>
            <w:pPr>
              <w:spacing w:after="0"/>
              <w:rPr>
                <w:sz w:val="18"/>
                <w:szCs w:val="18"/>
                <w:color w:val="auto"/>
              </w:rPr>
            </w:pPr>
          </w:p>
        </w:tc>
        <w:tc>
          <w:tcPr>
            <w:tcW w:w="7060" w:type="dxa"/>
            <w:vAlign w:val="bottom"/>
            <w:gridSpan w:val="3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58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60" w:type="dxa"/>
            <w:vAlign w:val="bottom"/>
            <w:gridSpan w:val="2"/>
          </w:tcPr>
          <w:p>
            <w:pPr>
              <w:spacing w:after="0"/>
              <w:rPr>
                <w:sz w:val="18"/>
                <w:szCs w:val="18"/>
                <w:color w:val="auto"/>
              </w:rPr>
            </w:pPr>
          </w:p>
        </w:tc>
        <w:tc>
          <w:tcPr>
            <w:tcW w:w="470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c>
          <w:tcPr>
            <w:tcW w:w="4940" w:type="dxa"/>
            <w:vAlign w:val="bottom"/>
            <w:gridSpan w:val="6"/>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0000FF"/>
                <w:w w:val="98"/>
              </w:rPr>
              <w:t>PART II – OTHER INFORMATION</w:t>
            </w: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240" w:type="dxa"/>
            <w:vAlign w:val="bottom"/>
          </w:tcPr>
          <w:p>
            <w:pPr>
              <w:spacing w:after="0"/>
              <w:rPr>
                <w:sz w:val="18"/>
                <w:szCs w:val="18"/>
                <w:color w:val="auto"/>
              </w:rPr>
            </w:pPr>
          </w:p>
        </w:tc>
        <w:tc>
          <w:tcPr>
            <w:tcW w:w="3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2760" w:type="dxa"/>
            <w:vAlign w:val="bottom"/>
            <w:tcBorders>
              <w:top w:val="single" w:sz="8" w:color="0000FF"/>
            </w:tcBorders>
            <w:gridSpan w:val="7"/>
          </w:tcPr>
          <w:p>
            <w:pPr>
              <w:spacing w:after="0"/>
              <w:rPr>
                <w:sz w:val="18"/>
                <w:szCs w:val="18"/>
                <w:color w:val="auto"/>
              </w:rPr>
            </w:pPr>
          </w:p>
        </w:tc>
        <w:tc>
          <w:tcPr>
            <w:tcW w:w="3580" w:type="dxa"/>
            <w:vAlign w:val="bottom"/>
            <w:gridSpan w:val="3"/>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10"/>
        </w:trPr>
        <w:tc>
          <w:tcPr>
            <w:tcW w:w="6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8"/>
              </w:rPr>
              <w:t>Item 1A.</w:t>
            </w:r>
          </w:p>
        </w:tc>
        <w:tc>
          <w:tcPr>
            <w:tcW w:w="240" w:type="dxa"/>
            <w:vAlign w:val="bottom"/>
          </w:tcPr>
          <w:p>
            <w:pPr>
              <w:spacing w:after="0"/>
              <w:rPr>
                <w:sz w:val="18"/>
                <w:szCs w:val="18"/>
                <w:color w:val="auto"/>
              </w:rPr>
            </w:pPr>
          </w:p>
        </w:tc>
        <w:tc>
          <w:tcPr>
            <w:tcW w:w="10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8160" w:type="dxa"/>
            <w:vAlign w:val="bottom"/>
            <w:gridSpan w:val="22"/>
          </w:tcPr>
          <w:p>
            <w:pPr>
              <w:spacing w:after="0"/>
              <w:rPr>
                <w:sz w:val="18"/>
                <w:szCs w:val="18"/>
                <w:color w:val="auto"/>
              </w:rPr>
            </w:pPr>
          </w:p>
        </w:tc>
        <w:tc>
          <w:tcPr>
            <w:tcW w:w="4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40" w:type="dxa"/>
            <w:vAlign w:val="bottom"/>
            <w:gridSpan w:val="19"/>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3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420" w:type="dxa"/>
            <w:vAlign w:val="bottom"/>
            <w:gridSpan w:val="3"/>
          </w:tcPr>
          <w:p>
            <w:pPr>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980" w:type="dxa"/>
            <w:vAlign w:val="bottom"/>
            <w:gridSpan w:val="21"/>
            <w:shd w:val="clear" w:color="auto" w:fill="0000FF"/>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360" w:type="dxa"/>
            <w:vAlign w:val="bottom"/>
            <w:gridSpan w:val="2"/>
          </w:tcPr>
          <w:p>
            <w:pPr>
              <w:spacing w:after="0"/>
              <w:rPr>
                <w:sz w:val="18"/>
                <w:szCs w:val="18"/>
                <w:color w:val="auto"/>
              </w:rPr>
            </w:pPr>
          </w:p>
        </w:tc>
        <w:tc>
          <w:tcPr>
            <w:tcW w:w="4840" w:type="dxa"/>
            <w:vAlign w:val="bottom"/>
            <w:gridSpan w:val="26"/>
          </w:tcPr>
          <w:p>
            <w:pPr>
              <w:spacing w:after="0"/>
              <w:rPr>
                <w:sz w:val="20"/>
                <w:szCs w:val="20"/>
                <w:color w:val="auto"/>
              </w:rPr>
            </w:pPr>
            <w:r>
              <w:rPr>
                <w:rFonts w:ascii="Arial" w:cs="Arial" w:eastAsia="Arial" w:hAnsi="Arial"/>
                <w:sz w:val="18"/>
                <w:szCs w:val="18"/>
                <w:color w:val="0000FF"/>
              </w:rPr>
              <w:t>Exhibits</w:t>
            </w:r>
          </w:p>
        </w:tc>
        <w:tc>
          <w:tcPr>
            <w:tcW w:w="4800" w:type="dxa"/>
            <w:vAlign w:val="bottom"/>
            <w:gridSpan w:val="5"/>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80" w:type="dxa"/>
            <w:vAlign w:val="bottom"/>
            <w:gridSpan w:val="2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8780" w:type="dxa"/>
            <w:vAlign w:val="bottom"/>
            <w:gridSpan w:val="26"/>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(https://investors.tenable.com), our filings with the Securities and Exchange Commission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Quarterly Report on Form 10-Q. These channels be may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60" w:type="dxa"/>
            <w:vAlign w:val="bottom"/>
          </w:tcPr>
          <w:p>
            <w:pPr>
              <w:jc w:val="center"/>
              <w:ind w:left="213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60" w:type="dxa"/>
            <w:vAlign w:val="bottom"/>
          </w:tcPr>
          <w:p>
            <w:pPr>
              <w:jc w:val="center"/>
              <w:ind w:left="2130"/>
              <w:spacing w:after="0"/>
              <w:rPr>
                <w:sz w:val="20"/>
                <w:szCs w:val="20"/>
                <w:color w:val="auto"/>
              </w:rPr>
            </w:pPr>
            <w:r>
              <w:rPr>
                <w:rFonts w:ascii="Arial" w:cs="Arial" w:eastAsia="Arial" w:hAnsi="Arial"/>
                <w:sz w:val="18"/>
                <w:szCs w:val="18"/>
                <w:b w:val="1"/>
                <w:bCs w:val="1"/>
                <w:color w:val="auto"/>
              </w:rPr>
              <w:t>TENABLE HOLDINGS, INC.</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60" w:type="dxa"/>
            <w:vAlign w:val="bottom"/>
          </w:tcPr>
          <w:p>
            <w:pPr>
              <w:jc w:val="center"/>
              <w:ind w:left="21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Pr>
          <w:p>
            <w:pPr>
              <w:spacing w:after="0"/>
              <w:rPr>
                <w:sz w:val="15"/>
                <w:szCs w:val="15"/>
                <w:color w:val="auto"/>
              </w:rPr>
            </w:pPr>
          </w:p>
        </w:tc>
        <w:tc>
          <w:tcPr>
            <w:tcW w:w="1320" w:type="dxa"/>
            <w:vAlign w:val="bottom"/>
          </w:tcPr>
          <w:p>
            <w:pPr>
              <w:jc w:val="right"/>
              <w:ind w:right="131"/>
              <w:spacing w:after="0" w:line="177"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80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328,647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226,836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80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Accounts receivable (net of allowance for doubtful accounts of $748 and $525 at March 31, 2025</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167,793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258,734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December 31, 2024, respectively)</w:t>
            </w: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53,026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746,423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940,745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67,914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45,139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1,742,119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650,372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738,092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182,815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356,068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356,705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56,224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1,342,165</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80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80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Common stock (par value: $0.01; 500,000 shares authorized; 124,484 and 122,371 shares issued</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at March 31, 2025 and December 31, 2024, respectively)</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1,374,659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80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Treasury stock (at cost: 4,282 and 2,673 shares at March 31, 2025 and December 31, 2024,</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(174,911)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(114,911)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(861,336)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399,954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1,693,577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1,742,119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215,961</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48,932</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167,029</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99,825</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53,223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43,727</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2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204,388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175,959</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(8,930)</w:t>
            </w: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(12,728)</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(losses) on available-for-sale securities,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22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2"/>
                <w:szCs w:val="12"/>
                <w:color w:val="auto"/>
              </w:rPr>
            </w:pPr>
          </w:p>
        </w:tc>
        <w:tc>
          <w:tcPr>
            <w:tcW w:w="22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2"/>
                <w:szCs w:val="12"/>
                <w:color w:val="auto"/>
              </w:rPr>
            </w:pPr>
          </w:p>
        </w:tc>
        <w:tc>
          <w:tcPr>
            <w:tcW w:w="12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at December 31,</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122,371</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1,374,659</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(114,911)</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(861,336)</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399,954</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Vesting of restricted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units</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Vesting of performance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under employee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9,698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9,701</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purchase plan</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Fair value of replacement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equity attributable to pre-</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acquisition service</w:t>
            </w: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56,049</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Other comprehensive</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income</w:t>
            </w: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(22,935)</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124,484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1,440,770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(174,911)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(884,271)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383,161</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117,504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1,185,100</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(14,934)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(825,035)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346,344</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Vesting of restricted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units</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Vesting of performance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under employee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9,881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9,884</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purchase plan</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(24,991)</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40,446</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(14,386)</w:t>
            </w:r>
          </w:p>
        </w:tc>
        <w:tc>
          <w:tcPr>
            <w:tcW w:w="0" w:type="dxa"/>
            <w:vAlign w:val="bottom"/>
          </w:tcPr>
          <w:p>
            <w:pPr>
              <w:spacing w:after="0"/>
              <w:rPr>
                <w:sz w:val="1"/>
                <w:szCs w:val="1"/>
                <w:color w:val="auto"/>
              </w:rPr>
            </w:pPr>
          </w:p>
        </w:tc>
      </w:tr>
      <w:tr>
        <w:trPr>
          <w:trHeight w:val="235"/>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358,948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2024</w:t>
            </w:r>
          </w:p>
        </w:tc>
      </w:tr>
      <w:tr>
        <w:trPr>
          <w:trHeight w:val="19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(14,386)</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8,232</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39,719</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Net accretion of discounts and amortization of premiums on short-term investments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63,437</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(22,017)</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(27,789)</w:t>
            </w:r>
          </w:p>
        </w:tc>
      </w:tr>
      <w:tr>
        <w:trPr>
          <w:trHeight w:val="23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r>
      <w:tr>
        <w:trPr>
          <w:trHeight w:val="22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r>
      <w:tr>
        <w:trPr>
          <w:trHeight w:val="108"/>
        </w:trPr>
        <w:tc>
          <w:tcPr>
            <w:tcW w:w="7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(77,465)</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Proceeds from other investments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(11,580)</w:t>
            </w:r>
          </w:p>
        </w:tc>
      </w:tr>
      <w:tr>
        <w:trPr>
          <w:trHeight w:val="108"/>
        </w:trPr>
        <w:tc>
          <w:tcPr>
            <w:tcW w:w="79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term loan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9,884</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treasury stock</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(24,991)</w:t>
            </w:r>
          </w:p>
        </w:tc>
      </w:tr>
      <w:tr>
        <w:trPr>
          <w:trHeight w:val="22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259,977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7,611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refunds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6020" w:hanging="332"/>
        <w:spacing w:after="0" w:line="499"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color w:val="auto"/>
        </w:rPr>
        <w:t xml:space="preserve">Tenable Holdings, Inc. (the “Company,” “we,” "us," or “our”) is a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the evolution of vulnerability management, advancing risk assessment and prioritization across the entire attack surface – from IT infrastructure to cloud environments to critical infrastructure. We unify security visibility, insight and action across this attack surface, equipping modern organizations to expose and close the cybersecurity gaps that erode business value, reputation and trust.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for interim financial information. All intercompany accounts and transactions have been eliminated in consolidation.</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consolidated statements are unaudited and should be read in conjunction with the consolidated financial statements and related notes included in our 2024 Annual Report on Form 10-K ("10-K") filed with the Securities and Exchange Commission on February 24, 2025.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179"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results for the three months ended March 31, 2025 are not necessarily indicative of the operating results expected for the year ending December 31, 2025 or any other future period.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3"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Our significant accounting policies are described in our 10-K. During the three months ended March 31, 2025, there were no material changes to our significant accounting policies from those described in our 10-K.</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 Income Taxes (Topic 740): Improvements to Income Tax Disclosures, which requires public entities to provide greater disaggregation within their annual rate reconciliation, including new requirements to present reconciling items on a gross basis in specified categories, disclose both percentages and dollar amounts, and disaggregate individual reconciling items by jurisdiction and nature when the effect of the items meet a quantitative threshold. The guidance also requires disaggregating the annual disclosure of income taxes paid, net of refunds received, by federal (national), state,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foreign taxes, with separate presentation of individual jurisdictions that meet a quantitative threshold. The guidance is effective for our annual periods beginning January 1, 2025 on a prospective basis, with a retrospective option. Adopting this guidance will result in additional annual tax disclosures but will not impact our provision for income taxes, deferred tax assets or deferred tax liabilities.</w:t>
      </w:r>
    </w:p>
    <w:p>
      <w:pPr>
        <w:spacing w:after="0" w:line="17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November 2024, the FASB issued ASU 2024-03 - Income Statement - Reporting Comprehensive Income - Expense Disaggregation Disclosures (Subtopic 220-40): Disaggregation of Income Statement Expenses, which requires public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a public business entity’s definition of selling expenses on an annual basis (or in interim reporting periods if the definition is changed). In January 2025, the FASB issued ASU 2025-01 - Income Statement - Reporting Comprehensive Income - Expense Disaggregation Disclosures (Subtopic 220-40): Clarifying the Effective Date to highlight the effective date of ASU 2024-03. The guidance is effective for our annual periods beginning on January 1, 2027 on a prospective basis, with a retrospective option, and interim reporting periods beginning on January 1, 2028. Early adoption is permitted. We are currently evaluating the impact of adopting this standard on our consolidated financial statements and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12,156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239,137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215,961</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94% and 93% of revenue in the three months ended March 31, 2025 and 2024, respectively. One of our distributors accounted for 32% and 34% of revenue in the three months ended March 31, 2025 and 2024, respectively. That same distributor accounted for 30% and 29% of accounts receivable at March 31, 2025 and December 31, 2024,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March 31, 2025 and 2024, we recognized revenue of $224.1 million and $201.0 million, respectively, that was included in the deferred revenue balance at the beginning of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future estimated revenue related to unsatisfied performance obligations: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234,598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Remaining performance obligations</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882,245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b w:val="1"/>
                <w:bCs w:val="1"/>
                <w:i w:val="1"/>
                <w:iCs w:val="1"/>
                <w:color w:val="auto"/>
              </w:rPr>
              <w:t>Deferred Commissions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0" w:type="dxa"/>
            <w:vAlign w:val="bottom"/>
          </w:tcPr>
          <w:p>
            <w:pPr>
              <w:spacing w:after="0"/>
              <w:rPr>
                <w:sz w:val="24"/>
                <w:szCs w:val="24"/>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Arial" w:cs="Arial" w:eastAsia="Arial" w:hAnsi="Arial"/>
                <w:sz w:val="18"/>
                <w:szCs w:val="18"/>
                <w:color w:val="auto"/>
              </w:rPr>
              <w:t>Ending balance</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25"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6"/>
                <w:szCs w:val="16"/>
                <w:b w:val="1"/>
                <w:bCs w:val="1"/>
                <w:color w:val="auto"/>
              </w:rPr>
              <w:t>March 31, 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right"/>
              <w:ind w:right="72"/>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78,301</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25,110</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25,112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30,146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65,540</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226,836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December 31, 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right"/>
              <w:ind w:right="72"/>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95,410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Yankee bonds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248,229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March 31, 2025 and December 31, 2024, our unrealized losses were due to rising market interest rates compared to when the investments were initiated. We do not believe any unrealized losses represent credit losses, and it is unlikely we would sell the investments before we would recover their amortized cost basis.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Arial" w:cs="Arial" w:eastAsia="Arial" w:hAnsi="Arial"/>
                <w:sz w:val="16"/>
                <w:szCs w:val="16"/>
                <w:b w:val="1"/>
                <w:bCs w:val="1"/>
                <w:color w:val="auto"/>
              </w:rPr>
              <w:t>March 31, 2025</w:t>
            </w:r>
          </w:p>
        </w:tc>
        <w:tc>
          <w:tcPr>
            <w:tcW w:w="420" w:type="dxa"/>
            <w:vAlign w:val="bottom"/>
          </w:tcPr>
          <w:p>
            <w:pPr>
              <w:spacing w:after="0"/>
              <w:rPr>
                <w:sz w:val="18"/>
                <w:szCs w:val="18"/>
                <w:color w:val="auto"/>
              </w:rPr>
            </w:pPr>
          </w:p>
        </w:tc>
        <w:tc>
          <w:tcPr>
            <w:tcW w:w="26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5"/>
        </w:trPr>
        <w:tc>
          <w:tcPr>
            <w:tcW w:w="5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34"/>
              <w:spacing w:after="0" w:line="155" w:lineRule="exact"/>
              <w:rPr>
                <w:sz w:val="20"/>
                <w:szCs w:val="20"/>
                <w:color w:val="auto"/>
              </w:rPr>
            </w:pPr>
            <w:r>
              <w:rPr>
                <w:rFonts w:ascii="Arial" w:cs="Arial" w:eastAsia="Arial" w:hAnsi="Arial"/>
                <w:sz w:val="16"/>
                <w:szCs w:val="16"/>
                <w:b w:val="1"/>
                <w:bCs w:val="1"/>
                <w:color w:val="auto"/>
              </w:rPr>
              <w:t>Estimated Fair</w:t>
            </w:r>
          </w:p>
        </w:tc>
        <w:tc>
          <w:tcPr>
            <w:tcW w:w="100" w:type="dxa"/>
            <w:vAlign w:val="bottom"/>
          </w:tcPr>
          <w:p>
            <w:pPr>
              <w:spacing w:after="0"/>
              <w:rPr>
                <w:sz w:val="13"/>
                <w:szCs w:val="13"/>
                <w:color w:val="auto"/>
              </w:rPr>
            </w:pPr>
          </w:p>
        </w:tc>
        <w:tc>
          <w:tcPr>
            <w:tcW w:w="154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173,187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204,532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two years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44,015</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At March 31, 2025 and December 31, 2024, cash and cash equivalents included $8.2 million of restricted cash related to collateral for outstanding letters of credit and an operating lease.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5"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4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6"/>
                <w:szCs w:val="16"/>
                <w:b w:val="1"/>
                <w:bCs w:val="1"/>
                <w:color w:val="auto"/>
              </w:rPr>
              <w:t>March 31, 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78,301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b w:val="1"/>
                <w:bCs w:val="1"/>
                <w:i w:val="1"/>
                <w:iCs w:val="1"/>
                <w:color w:val="auto"/>
              </w:rPr>
              <w:t>Other Investments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Our investments in privately held securities were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March 31, 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ind w:left="380"/>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6,702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and other securities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1,206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7,908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investments are classified as Level 3 as they do not have readily determinable market values.</w:t>
      </w:r>
    </w:p>
    <w:p>
      <w:pPr>
        <w:spacing w:after="0" w:line="2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the three months ended March 31, 2025, we received $0.7 million in proceeds from one of our SAFE investments and expect to collect the remaining $0.2 million in 2025.</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on a recurring basis at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Depreciation and amortization related to property and equipment was $4.0 million and $3.6 million in the three months ended March 31, 2025 and 2024, respectively.</w:t>
      </w:r>
    </w:p>
    <w:p>
      <w:pPr>
        <w:spacing w:after="0" w:line="153" w:lineRule="exact"/>
        <w:rPr>
          <w:sz w:val="20"/>
          <w:szCs w:val="20"/>
          <w:color w:val="auto"/>
        </w:rPr>
      </w:pPr>
    </w:p>
    <w:p>
      <w:pPr>
        <w:ind w:left="340" w:right="7180" w:hanging="332"/>
        <w:spacing w:after="0" w:line="500" w:lineRule="auto"/>
        <w:tabs>
          <w:tab w:leader="none" w:pos="21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Goodwill and Intangible Assets </w:t>
      </w:r>
      <w:r>
        <w:rPr>
          <w:rFonts w:ascii="Arial" w:cs="Arial" w:eastAsia="Arial" w:hAnsi="Arial"/>
          <w:sz w:val="18"/>
          <w:szCs w:val="18"/>
          <w:b w:val="1"/>
          <w:bCs w:val="1"/>
          <w:i w:val="1"/>
          <w:iCs w:val="1"/>
          <w:color w:val="auto"/>
        </w:rPr>
        <w:t>Business Combinations</w:t>
      </w:r>
    </w:p>
    <w:p>
      <w:pPr>
        <w:spacing w:after="0" w:line="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In February 2025, we acquired Vulcan Cyber Ltd. ("Vulcan"), an innovator in cyber risk management. This acquisition is expected to add enhanced visibility, extended third-party data flows, risk prioritization and optimized remediation to strengthen our Tenable One Exposure Management platform. We acquired 100% of Vulcan's equity through a share purchase agreement for total cash consideration of $148.5 million, net of $2.3 million cash acquired.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consideration, net of cash acquired, was preliminarily allocated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Vulcan</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115,189</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(7,695)</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23"/>
        </w:trPr>
        <w:tc>
          <w:tcPr>
            <w:tcW w:w="914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148,545</w:t>
            </w:r>
          </w:p>
        </w:tc>
      </w:tr>
      <w:tr>
        <w:trPr>
          <w:trHeight w:val="20"/>
        </w:trPr>
        <w:tc>
          <w:tcPr>
            <w:tcW w:w="9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allocated $40.0 million to Vulcan's proprietary technology with an estimated useful life of 7 years.</w:t>
      </w:r>
    </w:p>
    <w:p>
      <w:pPr>
        <w:spacing w:after="0" w:line="225"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We are still finalizing the allocation of the purchase price for Vulcan, which may change as additional information becomes available, including the valuation of acquired intangible assets, working capital and income taxes.</w:t>
      </w:r>
    </w:p>
    <w:p>
      <w:pPr>
        <w:spacing w:after="0" w:line="153"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The results of operations of Vulcan are included in our consolidated statements of operations from the acquisition date and were not material. Pro forma results of operations are not presented as they are not material to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Acquisition-related expenses are included in our consolidated statements of operations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2,328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acquisition-related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4,621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
        </w:trPr>
        <w:tc>
          <w:tcPr>
            <w:tcW w:w="82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Goodwill and Acquired Intangible Assets</w:t>
            </w: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280" w:type="dxa"/>
            <w:vAlign w:val="bottom"/>
          </w:tcPr>
          <w:p>
            <w:pPr>
              <w:ind w:left="340"/>
              <w:spacing w:after="0"/>
              <w:rPr>
                <w:sz w:val="20"/>
                <w:szCs w:val="20"/>
                <w:color w:val="auto"/>
              </w:rPr>
            </w:pPr>
            <w:r>
              <w:rPr>
                <w:rFonts w:ascii="Arial" w:cs="Arial" w:eastAsia="Arial" w:hAnsi="Arial"/>
                <w:sz w:val="18"/>
                <w:szCs w:val="18"/>
                <w:color w:val="auto"/>
              </w:rPr>
              <w:t>The changes in the carrying amount of goodwill are as follows: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80" w:type="dxa"/>
            <w:vAlign w:val="bottom"/>
          </w:tcPr>
          <w:p>
            <w:pPr>
              <w:ind w:left="1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December 31, 2024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Acquired goodwill</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115,189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March 31, 2025</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656,481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new capabilities from Vulcan to our customers. Acquired goodwill is generally not tax deductible.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2024</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4"/>
              <w:spacing w:after="0" w:line="155" w:lineRule="exact"/>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3"/>
                <w:szCs w:val="13"/>
                <w:color w:val="auto"/>
              </w:rPr>
            </w:pPr>
          </w:p>
        </w:tc>
        <w:tc>
          <w:tcPr>
            <w:tcW w:w="1360" w:type="dxa"/>
            <w:vAlign w:val="bottom"/>
            <w:gridSpan w:val="2"/>
          </w:tcPr>
          <w:p>
            <w:pPr>
              <w:jc w:val="right"/>
              <w:ind w:right="12"/>
              <w:spacing w:after="0" w:line="155"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00" w:type="dxa"/>
            <w:vAlign w:val="bottom"/>
          </w:tcPr>
          <w:p>
            <w:pPr>
              <w:jc w:val="right"/>
              <w:ind w:right="94"/>
              <w:spacing w:after="0" w:line="155"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12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Amortization of acquired intangible assets was $5.9 million and $4.7 million in the three months ended March 31, 2025 and 2024, respectively. At March 31, 2025, our acquired intangible assets are expected to be amortized over an estimated remaining weighted average period of 5.6 years.</w:t>
      </w:r>
    </w:p>
    <w:p>
      <w:pPr>
        <w:sectPr>
          <w:pgSz w:w="11900" w:h="16838" w:orient="portrait"/>
          <w:cols w:equalWidth="0" w:num="1">
            <w:col w:w="11240"/>
          </w:cols>
          <w:pgMar w:left="320" w:top="122"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2025, estimated future amortization of acquired intangible assets is as follows: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09803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 ending December 31,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2025</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wp:posOffset>
            </wp:positionV>
            <wp:extent cx="70980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2026</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0980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2028</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0980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54" w:lineRule="exact"/>
        <w:rPr>
          <w:sz w:val="20"/>
          <w:szCs w:val="20"/>
          <w:color w:val="auto"/>
        </w:rPr>
      </w:pPr>
    </w:p>
    <w:p>
      <w:pPr>
        <w:jc w:val="center"/>
        <w:ind w:right="8132"/>
        <w:spacing w:after="0"/>
        <w:rPr>
          <w:sz w:val="20"/>
          <w:szCs w:val="20"/>
          <w:color w:val="auto"/>
        </w:rPr>
      </w:pPr>
      <w:r>
        <w:rPr>
          <w:rFonts w:ascii="Arial" w:cs="Arial" w:eastAsia="Arial" w:hAnsi="Arial"/>
          <w:sz w:val="18"/>
          <w:szCs w:val="18"/>
          <w:color w:val="auto"/>
        </w:rPr>
        <w:t>Total</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nine months ending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48" w:hanging="848"/>
        <w:spacing w:after="0"/>
        <w:tabs>
          <w:tab w:leader="none" w:pos="848" w:val="left"/>
        </w:tabs>
        <w:numPr>
          <w:ilvl w:val="0"/>
          <w:numId w:val="7"/>
        </w:numPr>
        <w:rPr>
          <w:rFonts w:ascii="Arial" w:cs="Arial" w:eastAsia="Arial" w:hAnsi="Arial"/>
          <w:sz w:val="18"/>
          <w:szCs w:val="18"/>
          <w:color w:val="auto"/>
        </w:rPr>
      </w:pPr>
      <w:r>
        <w:rPr>
          <w:rFonts w:ascii="Arial" w:cs="Arial" w:eastAsia="Arial" w:hAnsi="Arial"/>
          <w:sz w:val="18"/>
          <w:szCs w:val="18"/>
          <w:color w:val="auto"/>
        </w:rPr>
        <w:t>19,327</w:t>
      </w:r>
    </w:p>
    <w:p>
      <w:pPr>
        <w:spacing w:after="0" w:line="31" w:lineRule="exact"/>
        <w:rPr>
          <w:rFonts w:ascii="Arial" w:cs="Arial" w:eastAsia="Arial" w:hAnsi="Arial"/>
          <w:sz w:val="18"/>
          <w:szCs w:val="18"/>
          <w:color w:val="auto"/>
        </w:rPr>
      </w:pPr>
    </w:p>
    <w:p>
      <w:pPr>
        <w:ind w:left="848"/>
        <w:spacing w:after="0"/>
        <w:rPr>
          <w:rFonts w:ascii="Arial" w:cs="Arial" w:eastAsia="Arial" w:hAnsi="Arial"/>
          <w:sz w:val="18"/>
          <w:szCs w:val="18"/>
          <w:color w:val="auto"/>
        </w:rPr>
      </w:pPr>
      <w:r>
        <w:rPr>
          <w:rFonts w:ascii="Arial" w:cs="Arial" w:eastAsia="Arial" w:hAnsi="Arial"/>
          <w:sz w:val="18"/>
          <w:szCs w:val="18"/>
          <w:color w:val="auto"/>
        </w:rPr>
        <w:t>25,584</w:t>
      </w:r>
    </w:p>
    <w:p>
      <w:pPr>
        <w:spacing w:after="0" w:line="22" w:lineRule="exact"/>
        <w:rPr>
          <w:rFonts w:ascii="Arial" w:cs="Arial" w:eastAsia="Arial" w:hAnsi="Arial"/>
          <w:sz w:val="18"/>
          <w:szCs w:val="18"/>
          <w:color w:val="auto"/>
        </w:rPr>
      </w:pPr>
    </w:p>
    <w:p>
      <w:pPr>
        <w:ind w:left="848"/>
        <w:spacing w:after="0"/>
        <w:rPr>
          <w:rFonts w:ascii="Arial" w:cs="Arial" w:eastAsia="Arial" w:hAnsi="Arial"/>
          <w:sz w:val="18"/>
          <w:szCs w:val="18"/>
          <w:color w:val="auto"/>
        </w:rPr>
      </w:pPr>
      <w:r>
        <w:rPr>
          <w:rFonts w:ascii="Arial" w:cs="Arial" w:eastAsia="Arial" w:hAnsi="Arial"/>
          <w:sz w:val="18"/>
          <w:szCs w:val="18"/>
          <w:color w:val="auto"/>
        </w:rPr>
        <w:t>23,555</w:t>
      </w:r>
    </w:p>
    <w:p>
      <w:pPr>
        <w:spacing w:after="0" w:line="22" w:lineRule="exact"/>
        <w:rPr>
          <w:rFonts w:ascii="Arial" w:cs="Arial" w:eastAsia="Arial" w:hAnsi="Arial"/>
          <w:sz w:val="18"/>
          <w:szCs w:val="18"/>
          <w:color w:val="auto"/>
        </w:rPr>
      </w:pPr>
    </w:p>
    <w:p>
      <w:pPr>
        <w:ind w:left="848"/>
        <w:spacing w:after="0"/>
        <w:rPr>
          <w:rFonts w:ascii="Arial" w:cs="Arial" w:eastAsia="Arial" w:hAnsi="Arial"/>
          <w:sz w:val="18"/>
          <w:szCs w:val="18"/>
          <w:color w:val="auto"/>
        </w:rPr>
      </w:pPr>
      <w:r>
        <w:rPr>
          <w:rFonts w:ascii="Arial" w:cs="Arial" w:eastAsia="Arial" w:hAnsi="Arial"/>
          <w:sz w:val="18"/>
          <w:szCs w:val="18"/>
          <w:color w:val="auto"/>
        </w:rPr>
        <w:t>20,512</w:t>
      </w:r>
    </w:p>
    <w:p>
      <w:pPr>
        <w:spacing w:after="0" w:line="22" w:lineRule="exact"/>
        <w:rPr>
          <w:rFonts w:ascii="Arial" w:cs="Arial" w:eastAsia="Arial" w:hAnsi="Arial"/>
          <w:sz w:val="18"/>
          <w:szCs w:val="18"/>
          <w:color w:val="auto"/>
        </w:rPr>
      </w:pPr>
    </w:p>
    <w:p>
      <w:pPr>
        <w:ind w:left="848"/>
        <w:spacing w:after="0"/>
        <w:rPr>
          <w:rFonts w:ascii="Arial" w:cs="Arial" w:eastAsia="Arial" w:hAnsi="Arial"/>
          <w:sz w:val="18"/>
          <w:szCs w:val="18"/>
          <w:color w:val="auto"/>
        </w:rPr>
      </w:pPr>
      <w:r>
        <w:rPr>
          <w:rFonts w:ascii="Arial" w:cs="Arial" w:eastAsia="Arial" w:hAnsi="Arial"/>
          <w:sz w:val="18"/>
          <w:szCs w:val="18"/>
          <w:color w:val="auto"/>
        </w:rPr>
        <w:t>16,892</w:t>
      </w:r>
    </w:p>
    <w:p>
      <w:pPr>
        <w:spacing w:after="0" w:line="22" w:lineRule="exact"/>
        <w:rPr>
          <w:rFonts w:ascii="Arial" w:cs="Arial" w:eastAsia="Arial" w:hAnsi="Arial"/>
          <w:sz w:val="18"/>
          <w:szCs w:val="18"/>
          <w:color w:val="auto"/>
        </w:rPr>
      </w:pPr>
    </w:p>
    <w:p>
      <w:pPr>
        <w:ind w:left="848"/>
        <w:spacing w:after="0"/>
        <w:rPr>
          <w:rFonts w:ascii="Arial" w:cs="Arial" w:eastAsia="Arial" w:hAnsi="Arial"/>
          <w:sz w:val="18"/>
          <w:szCs w:val="18"/>
          <w:color w:val="auto"/>
        </w:rPr>
      </w:pPr>
      <w:r>
        <w:rPr>
          <w:rFonts w:ascii="Arial" w:cs="Arial" w:eastAsia="Arial" w:hAnsi="Arial"/>
          <w:sz w:val="18"/>
          <w:szCs w:val="18"/>
          <w:color w:val="auto"/>
        </w:rPr>
        <w:t>22,727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951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7" w:lineRule="exact"/>
        <w:rPr>
          <w:sz w:val="20"/>
          <w:szCs w:val="20"/>
          <w:color w:val="auto"/>
        </w:rPr>
      </w:pPr>
    </w:p>
    <w:p>
      <w:pPr>
        <w:ind w:left="748" w:hanging="748"/>
        <w:spacing w:after="0"/>
        <w:tabs>
          <w:tab w:leader="none" w:pos="748" w:val="left"/>
        </w:tabs>
        <w:numPr>
          <w:ilvl w:val="0"/>
          <w:numId w:val="8"/>
        </w:numPr>
        <w:rPr>
          <w:rFonts w:ascii="Arial" w:cs="Arial" w:eastAsia="Arial" w:hAnsi="Arial"/>
          <w:sz w:val="18"/>
          <w:szCs w:val="18"/>
          <w:color w:val="auto"/>
        </w:rPr>
      </w:pPr>
      <w:r>
        <w:rPr>
          <w:rFonts w:ascii="Arial" w:cs="Arial" w:eastAsia="Arial" w:hAnsi="Arial"/>
          <w:sz w:val="18"/>
          <w:szCs w:val="18"/>
          <w:color w:val="auto"/>
        </w:rPr>
        <w:t>128,597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51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51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9012" w:space="720"/>
            <w:col w:w="1508"/>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operating leases for office facilities. The components of lease expense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sublease income.</w:t>
      </w:r>
    </w:p>
    <w:p>
      <w:pPr>
        <w:spacing w:after="0" w:line="214"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In June 2024, we executed a sublease of a portion of our corporate headquarters through February 2032. Sublease income, which is recorded as a reduction of rent expense, was $0.4 million for the three months ended March 31, 2025.</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months ended March 31, 2025 and 2024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March 31, 2025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0" w:type="dxa"/>
            <w:vAlign w:val="bottom"/>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years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6.5 years</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2025 and 2024, we did not obtain any right-of-use assets in exchange for lease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at March 31, 2025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2025</w:t>
            </w:r>
            <w:r>
              <w:rPr>
                <w:rFonts w:ascii="Arial" w:cs="Arial" w:eastAsia="Arial" w:hAnsi="Arial"/>
                <w:sz w:val="23"/>
                <w:szCs w:val="23"/>
                <w:color w:val="auto"/>
                <w:vertAlign w:val="superscript"/>
              </w:rPr>
              <w:t>(1)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6,730</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11,736</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10,740</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21,968</w:t>
            </w: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74,421</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60,926</w:t>
            </w:r>
          </w:p>
        </w:tc>
      </w:tr>
      <w:tr>
        <w:trPr>
          <w:trHeight w:val="20"/>
        </w:trPr>
        <w:tc>
          <w:tcPr>
            <w:tcW w:w="9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5"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nine months ending December 31, 2025.</w:t>
      </w:r>
    </w:p>
    <w:p>
      <w:pPr>
        <w:spacing w:after="0" w:line="209"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Operating lease payments in the table above do not include $0.9 million, $1.7 million, $1.8 million, $1.9 million, $1.9 million and $4.5 million of sublease payments we expect to receive in 2025, 2026, 2027, 2028, 2029 and thereafter,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p>
      <w:pPr>
        <w:spacing w:after="0" w:line="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$375.0 million senior secured term loan facility ("Term Loan");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$50.0 million senior secured revolving credit facility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carrying value of the Term Loan: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March 31, 2025</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362,812</w:t>
            </w:r>
          </w:p>
        </w:tc>
      </w:tr>
      <w:tr>
        <w:trPr>
          <w:trHeight w:val="230"/>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358,629</w:t>
            </w:r>
          </w:p>
        </w:tc>
      </w:tr>
      <w:tr>
        <w:trPr>
          <w:trHeight w:val="230"/>
        </w:trPr>
        <w:tc>
          <w:tcPr>
            <w:tcW w:w="97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Less: Term loan, net, current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356,068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Term loan, net current is included in other current liabilities on our consolidated balance sheets.</w:t>
      </w:r>
    </w:p>
    <w:p>
      <w:pPr>
        <w:spacing w:after="0" w:line="230"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Term Loan bears interest at a rate of 2.75% per annum over the Secured Overnight Financing Rate ("SOFR"), subject to a 0.50% floor, plus a credit spread adjustment depending on the interest period. The Term Loan is being amortized at 1% per annum in equal quarterly installments until the final payment of $350.6 million on the July 7, 2028 maturity date.</w:t>
      </w:r>
    </w:p>
    <w:p>
      <w:pPr>
        <w:spacing w:after="0" w:line="17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Term Loan is recorded at its carrying value. At March 31, 2025, the fair value of our Term Loan was approximately $361.9 million. In the fair value hierarchy, our Term Loan is classified as Level 2 as it is traded in less active markets.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maturities of the Term Loan at March 31, 2025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2025</w:t>
            </w:r>
            <w:r>
              <w:rPr>
                <w:rFonts w:ascii="Arial" w:cs="Arial" w:eastAsia="Arial" w:hAnsi="Arial"/>
                <w:sz w:val="23"/>
                <w:szCs w:val="23"/>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2,812</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352,500</w:t>
            </w: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362,812</w:t>
            </w:r>
          </w:p>
        </w:tc>
      </w:tr>
      <w:tr>
        <w:trPr>
          <w:trHeight w:val="20"/>
        </w:trPr>
        <w:tc>
          <w:tcPr>
            <w:tcW w:w="9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2"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nine months ending December 31, 2025.</w:t>
      </w:r>
    </w:p>
    <w:p>
      <w:pPr>
        <w:spacing w:after="0" w:line="21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may be subject to mandatory Term Loan prepayments related to the excess cash flow provisions. These prepayments would only be required if our first lien net leverage ratio (as defined in our Credit Agreement) exceeds 3.5 at the end of each year. At March 31, 2025, our first lien net leverage ratio was 0.86.</w:t>
      </w:r>
    </w:p>
    <w:p>
      <w:pPr>
        <w:spacing w:after="0" w:line="171"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At March 31, 2025, we had $0.2 million of standby letters of credit outstanding under our Revolving Credit Facility related to one of our operating leases. At March 31, 2025, we were in compliance with the covenants under the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22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December 2023, we entered into a contract with Microsoft for cloud services from February 2024 through January 2027. Under the terms of the contract we committed to spend €28.5 million. If we do not meet our commitment by the end of the term, we will be required to pay the difference. As of March 31, 2025, we have spent €8.7 million of our commitment.</w:t>
      </w:r>
    </w:p>
    <w:p>
      <w:pPr>
        <w:spacing w:after="0" w:line="171"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 July 2024, we entered into a new contract with Amazon Web Services, Inc. ("AWS") for cloud services, in which we committed to spend $59.7 million, $77.6 million and $93.0 million in years one, two and three, respectively, for a total commitment of $230.3 million from August 2024 to July 2027. As of March 31, 2025, we have spent $46.6 million of our first year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3"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At March 31, 2025,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w:t>
            </w:r>
          </w:p>
        </w:tc>
      </w:tr>
      <w:tr>
        <w:trPr>
          <w:trHeight w:val="229"/>
        </w:trPr>
        <w:tc>
          <w:tcPr>
            <w:tcW w:w="8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w:t>
            </w:r>
          </w:p>
        </w:tc>
      </w:tr>
      <w:tr>
        <w:trPr>
          <w:trHeight w:val="248"/>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3" w:lineRule="exact"/>
        <w:rPr>
          <w:sz w:val="20"/>
          <w:szCs w:val="20"/>
          <w:color w:val="auto"/>
        </w:rPr>
      </w:pPr>
    </w:p>
    <w:p>
      <w:pPr>
        <w:ind w:right="420" w:firstLine="8"/>
        <w:spacing w:after="0" w:line="28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in the three months ended March 31, 2025 includes $14.6 million of expense related to the accelerated vesting of equity awards for our late CEO.</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unrecognized stock-based compensation expense related to unvested stock at March 31, 2025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Unrecognized Stock-</w:t>
            </w: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Estimated Weighted</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Based Compensation</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Expense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 Period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("RSUs")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390,014</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Performance stock units ("PSUs")</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9,502</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color w:val="auto"/>
              </w:rPr>
              <w:t>2018 Employee Stock Purchase Plan ("2018 ESPP")</w:t>
            </w: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14,412</w:t>
            </w:r>
          </w:p>
        </w:tc>
        <w:tc>
          <w:tcPr>
            <w:tcW w:w="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RSUs and PSUs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RSU and PSU activity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Arial" w:cs="Arial" w:eastAsia="Arial" w:hAnsi="Arial"/>
                <w:sz w:val="16"/>
                <w:szCs w:val="16"/>
                <w:b w:val="1"/>
                <w:bCs w:val="1"/>
                <w:color w:val="auto"/>
              </w:rPr>
              <w:t>Restricted Stock</w:t>
            </w:r>
          </w:p>
        </w:tc>
        <w:tc>
          <w:tcPr>
            <w:tcW w:w="2500" w:type="dxa"/>
            <w:vAlign w:val="bottom"/>
            <w:gridSpan w:val="5"/>
          </w:tcPr>
          <w:p>
            <w:pPr>
              <w:ind w:left="980"/>
              <w:spacing w:after="0"/>
              <w:rPr>
                <w:sz w:val="20"/>
                <w:szCs w:val="20"/>
                <w:color w:val="auto"/>
              </w:rPr>
            </w:pPr>
            <w:r>
              <w:rPr>
                <w:rFonts w:ascii="Arial" w:cs="Arial" w:eastAsia="Arial" w:hAnsi="Arial"/>
                <w:sz w:val="16"/>
                <w:szCs w:val="16"/>
                <w:b w:val="1"/>
                <w:bCs w:val="1"/>
                <w:color w:val="auto"/>
              </w:rPr>
              <w:t>RSUs</w:t>
            </w:r>
          </w:p>
        </w:tc>
        <w:tc>
          <w:tcPr>
            <w:tcW w:w="2380" w:type="dxa"/>
            <w:vAlign w:val="bottom"/>
            <w:gridSpan w:val="4"/>
          </w:tcPr>
          <w:p>
            <w:pPr>
              <w:jc w:val="right"/>
              <w:ind w:right="894"/>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w:t>
            </w:r>
          </w:p>
        </w:tc>
        <w:tc>
          <w:tcPr>
            <w:tcW w:w="11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Average</w:t>
            </w:r>
          </w:p>
        </w:tc>
        <w:tc>
          <w:tcPr>
            <w:tcW w:w="11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for per share data)</w:t>
            </w: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Grant Date</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Grant Date</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Fair Value</w:t>
            </w: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Unvested balance at March 31,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3"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adjustments due to the achievement of predefined financial performance targets.</w:t>
      </w:r>
    </w:p>
    <w:p>
      <w:pPr>
        <w:spacing w:after="0" w:line="225"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In January 2025, under the evergreen provision in our 2018 Equity Incentive Plan we reserved an additional 6.0 million shares of our common stock. At March 31, 2025, there were 27.5 million shares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4"/>
                <w:szCs w:val="14"/>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Average</w:t>
            </w: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Term</w:t>
            </w: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400" w:type="dxa"/>
            <w:vAlign w:val="bottom"/>
          </w:tcPr>
          <w:p>
            <w:pPr>
              <w:jc w:val="right"/>
              <w:ind w:right="25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 Price</w:t>
            </w:r>
          </w:p>
        </w:tc>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years)</w:t>
            </w:r>
          </w:p>
        </w:tc>
        <w:tc>
          <w:tcPr>
            <w:tcW w:w="16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Outstanding and exercisable at March 31,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23" w:lineRule="exact"/>
        <w:rPr>
          <w:sz w:val="20"/>
          <w:szCs w:val="20"/>
          <w:color w:val="auto"/>
        </w:rPr>
      </w:pPr>
    </w:p>
    <w:p>
      <w:pPr>
        <w:jc w:val="both"/>
        <w:ind w:left="20" w:right="20" w:firstLine="324"/>
        <w:spacing w:after="0" w:line="268" w:lineRule="auto"/>
        <w:rPr>
          <w:sz w:val="20"/>
          <w:szCs w:val="20"/>
          <w:color w:val="auto"/>
        </w:rPr>
      </w:pPr>
      <w:r>
        <w:rPr>
          <w:rFonts w:ascii="Arial" w:cs="Arial" w:eastAsia="Arial" w:hAnsi="Arial"/>
          <w:sz w:val="18"/>
          <w:szCs w:val="18"/>
          <w:color w:val="auto"/>
        </w:rPr>
        <w:t>In the three months ended March 31, 2025, employees purchased 0.3 million shares of our common stock at a weighted average price of $32.42 per share, resulting in $9.7 million of cash proceeds. At March 31, 2025, there was $1.5 million of employee contributions to the 2018 ESPP included in accrued compensation.</w:t>
      </w:r>
    </w:p>
    <w:p>
      <w:pPr>
        <w:spacing w:after="0" w:line="171" w:lineRule="exact"/>
        <w:rPr>
          <w:sz w:val="20"/>
          <w:szCs w:val="20"/>
          <w:color w:val="auto"/>
        </w:rPr>
      </w:pPr>
    </w:p>
    <w:p>
      <w:pPr>
        <w:ind w:left="20" w:right="520" w:firstLine="324"/>
        <w:spacing w:after="0" w:line="287"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9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 38.2%</w:t>
            </w: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20"/>
              <w:spacing w:after="0"/>
              <w:rPr>
                <w:sz w:val="20"/>
                <w:szCs w:val="20"/>
                <w:color w:val="auto"/>
              </w:rPr>
            </w:pPr>
            <w:r>
              <w:rPr>
                <w:rFonts w:ascii="Arial" w:cs="Arial" w:eastAsia="Arial" w:hAnsi="Arial"/>
                <w:sz w:val="18"/>
                <w:szCs w:val="18"/>
                <w:color w:val="auto"/>
              </w:rPr>
              <w:t>51.4%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w:t>
            </w:r>
          </w:p>
        </w:tc>
      </w:tr>
      <w:tr>
        <w:trPr>
          <w:trHeight w:val="239"/>
        </w:trPr>
        <w:tc>
          <w:tcPr>
            <w:tcW w:w="6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0"/>
                <w:szCs w:val="20"/>
                <w:color w:val="auto"/>
              </w:rPr>
            </w:pPr>
          </w:p>
        </w:tc>
      </w:tr>
    </w:tbl>
    <w:p>
      <w:pPr>
        <w:spacing w:after="0" w:line="282" w:lineRule="exact"/>
        <w:rPr>
          <w:sz w:val="20"/>
          <w:szCs w:val="20"/>
          <w:color w:val="auto"/>
        </w:rPr>
      </w:pPr>
    </w:p>
    <w:p>
      <w:pPr>
        <w:ind w:left="20" w:right="100" w:firstLine="324"/>
        <w:spacing w:after="0" w:line="287" w:lineRule="auto"/>
        <w:rPr>
          <w:sz w:val="20"/>
          <w:szCs w:val="20"/>
          <w:color w:val="auto"/>
        </w:rPr>
      </w:pPr>
      <w:r>
        <w:rPr>
          <w:rFonts w:ascii="Arial" w:cs="Arial" w:eastAsia="Arial" w:hAnsi="Arial"/>
          <w:sz w:val="18"/>
          <w:szCs w:val="18"/>
          <w:color w:val="auto"/>
        </w:rPr>
        <w:t>Under the evergreen provision in our 2018 ESPP, in January 2025 we reserved an additional 1.8 million shares of our common stock. At March 31, 2025, there were 11.5 million shares reserved for issuance under our 2018 ESPP.</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Income Taxes</w:t>
      </w:r>
    </w:p>
    <w:p>
      <w:pPr>
        <w:spacing w:after="0" w:line="225" w:lineRule="exact"/>
        <w:rPr>
          <w:sz w:val="20"/>
          <w:szCs w:val="20"/>
          <w:color w:val="auto"/>
        </w:rPr>
      </w:pPr>
    </w:p>
    <w:p>
      <w:pPr>
        <w:ind w:left="20" w:right="60" w:firstLine="324"/>
        <w:spacing w:after="0" w:line="287" w:lineRule="auto"/>
        <w:rPr>
          <w:sz w:val="20"/>
          <w:szCs w:val="20"/>
          <w:color w:val="auto"/>
        </w:rPr>
      </w:pPr>
      <w:r>
        <w:rPr>
          <w:rFonts w:ascii="Arial" w:cs="Arial" w:eastAsia="Arial" w:hAnsi="Arial"/>
          <w:sz w:val="18"/>
          <w:szCs w:val="18"/>
          <w:color w:val="auto"/>
        </w:rPr>
        <w:t>In the three months ended March 31, 2025, the provision for income taxes included $2.1 million of income taxes in foreign jurisdictions in which we conduct business and $1.5 million of discrete items primarily related to withholding taxes on sales to customers.</w:t>
      </w:r>
    </w:p>
    <w:p>
      <w:pPr>
        <w:spacing w:after="0" w:line="153" w:lineRule="exact"/>
        <w:rPr>
          <w:sz w:val="20"/>
          <w:szCs w:val="20"/>
          <w:color w:val="auto"/>
        </w:rPr>
      </w:pPr>
    </w:p>
    <w:p>
      <w:pPr>
        <w:ind w:left="20" w:right="60" w:firstLine="324"/>
        <w:spacing w:after="0" w:line="287" w:lineRule="auto"/>
        <w:rPr>
          <w:sz w:val="20"/>
          <w:szCs w:val="20"/>
          <w:color w:val="auto"/>
        </w:rPr>
      </w:pPr>
      <w:r>
        <w:rPr>
          <w:rFonts w:ascii="Arial" w:cs="Arial" w:eastAsia="Arial" w:hAnsi="Arial"/>
          <w:sz w:val="18"/>
          <w:szCs w:val="18"/>
          <w:color w:val="auto"/>
        </w:rPr>
        <w:t>In the three months ended March 31, 2024, the provision for income taxes included $0.4 million of income taxes in foreign jurisdictions in which we conduct business and $1.3 million of discrete items primarily related to withholding taxes on sales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ind w:left="100"/>
              <w:spacing w:after="0" w:line="203"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18"/>
                <w:szCs w:val="18"/>
                <w:color w:val="auto"/>
              </w:rPr>
            </w:pPr>
          </w:p>
        </w:tc>
        <w:tc>
          <w:tcPr>
            <w:tcW w:w="192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PSUs</w:t>
            </w:r>
          </w:p>
        </w:tc>
        <w:tc>
          <w:tcPr>
            <w:tcW w:w="142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8300" w:type="dxa"/>
            <w:vAlign w:val="bottom"/>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14,003</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operate as one operating segment. Our Co-Chief Executive Officers, who are our Chief Operating Decision Makers ("CODMs"), review financial information on a consolidated basis for purposes of making operating decisions, allocating resources and evaluating financial performance. Our CODMs review cost of sales expense, sales and marketing expense, research and development expense and general and administrative expense to assess our significant segment expenses, and review income (loss) from operations and net income (loss) to assess our operating performance. Our CODMs also review total assets, as reported on our consolidated balance sheets. See our consolidated statement of operations for our significant segment expenses, loss from operations and net loss in the periods presented.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57,038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24,440</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239,137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215,961</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8"/>
          <w:szCs w:val="18"/>
          <w:color w:val="auto"/>
        </w:rPr>
        <w:t>Customers located in the United States accounted for 53% of revenue in the three months ended March 31, 2025 and 54% of revenue in the three months ended March 31, 2024. No other country accounted for 10% or more of revenue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Pr>
          <w:p>
            <w:pPr>
              <w:spacing w:after="0"/>
              <w:rPr>
                <w:sz w:val="16"/>
                <w:szCs w:val="16"/>
                <w:color w:val="auto"/>
              </w:rPr>
            </w:pPr>
          </w:p>
        </w:tc>
        <w:tc>
          <w:tcPr>
            <w:tcW w:w="1260" w:type="dxa"/>
            <w:vAlign w:val="bottom"/>
          </w:tcPr>
          <w:p>
            <w:pPr>
              <w:jc w:val="right"/>
              <w:ind w:right="9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2024, or the 10-K, filed with the Securities and Exchange Commission on February 24, 2025.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IA of the 10-K,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right="140" w:firstLine="324"/>
        <w:spacing w:after="0" w:line="269" w:lineRule="auto"/>
        <w:rPr>
          <w:sz w:val="20"/>
          <w:szCs w:val="20"/>
          <w:color w:val="auto"/>
        </w:rPr>
      </w:pPr>
      <w:r>
        <w:rPr>
          <w:rFonts w:ascii="Arial" w:cs="Arial" w:eastAsia="Arial" w:hAnsi="Arial"/>
          <w:sz w:val="18"/>
          <w:szCs w:val="18"/>
          <w:color w:val="auto"/>
        </w:rPr>
        <w:t xml:space="preserve">We are a leading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the evolution of vulnerability management, advancing risk assessment and prioritization across the entire attack surface – from IT infrastructure to cloud environments to critical infrastructure. Tenable unifies security visibility, insight and action across this attack surface, equipping modern organizations to expose and close the cybersecurity gaps that erode business value, reputation and trust.</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Tenable One is an AI-powered exposure management platform that gives enterprises a single, unified view of risk across all types of assets and attack pathways. The platform combines broad, industry-leading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and a centralized asset inventory. It leverages AI, and machine learning, or ML, rapidly analyzing and interpreting vast data sets to pinpoint priority weaknesses and high-risk attack paths, deliver recommendations and automate routine tasks.</w:t>
      </w:r>
    </w:p>
    <w:p>
      <w:pPr>
        <w:spacing w:after="0" w:line="182"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Tenable One integrates Tenable Vulnerability Management, Tenable Cloud Security, Tenable Identity Exposure, Tenable Web App Scanning, Tenable Lumin Exposure View, Tenable Attack Surface Management, Tenable Security Center and Tenable OT Security. Our products, including Nessus are also offered on a standalone basis.</w:t>
      </w:r>
    </w:p>
    <w:p>
      <w:pPr>
        <w:spacing w:after="0" w:line="171"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Our platform offerings are primarily sold on a subscription basis with a one-year term. Our subscription terms are generally not longer than three years. These subscriptions are typically invoiced in advance at the beginning of the term. In some instances, multi-year subscriptions are invoiced annually in installments.</w:t>
      </w:r>
    </w:p>
    <w:p>
      <w:pPr>
        <w:spacing w:after="0" w:line="171" w:lineRule="exact"/>
        <w:rPr>
          <w:sz w:val="20"/>
          <w:szCs w:val="20"/>
          <w:color w:val="auto"/>
        </w:rPr>
      </w:pPr>
    </w:p>
    <w:p>
      <w:pPr>
        <w:jc w:val="both"/>
        <w:ind w:right="160" w:firstLine="324"/>
        <w:spacing w:after="0" w:line="26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r>
    </w:tbl>
    <w:p>
      <w:pPr>
        <w:spacing w:after="0" w:line="292"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Recurring revenue, which includes revenue from subscription arrangements for software (both recognized ratably over the subscription term and upon delivery) and cloud-based solutions and maintenance associated with perpetual licenses, represented 96% of revenue in the three months ended March 31, 2025 and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2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7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1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and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8"/>
              </w:rPr>
              <w:t>239,137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rPr>
              <w:t>215,961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200" w:type="dxa"/>
            <w:vAlign w:val="bottom"/>
          </w:tcPr>
          <w:p>
            <w:pPr>
              <w:spacing w:after="0"/>
              <w:rPr>
                <w:sz w:val="19"/>
                <w:szCs w:val="19"/>
                <w:color w:val="auto"/>
              </w:rPr>
            </w:pPr>
          </w:p>
        </w:tc>
        <w:tc>
          <w:tcPr>
            <w:tcW w:w="1240" w:type="dxa"/>
            <w:vAlign w:val="bottom"/>
          </w:tcPr>
          <w:p>
            <w:pPr>
              <w:jc w:val="center"/>
              <w:ind w:left="353"/>
              <w:spacing w:after="0"/>
              <w:rPr>
                <w:sz w:val="20"/>
                <w:szCs w:val="20"/>
                <w:color w:val="auto"/>
              </w:rPr>
            </w:pPr>
            <w:r>
              <w:rPr>
                <w:rFonts w:ascii="Arial" w:cs="Arial" w:eastAsia="Arial" w:hAnsi="Arial"/>
                <w:sz w:val="18"/>
                <w:szCs w:val="18"/>
                <w:color w:val="auto"/>
                <w:w w:val="98"/>
              </w:rPr>
              <w:t>633,224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212"/>
              <w:spacing w:after="0"/>
              <w:rPr>
                <w:sz w:val="20"/>
                <w:szCs w:val="20"/>
                <w:color w:val="auto"/>
              </w:rPr>
            </w:pPr>
            <w:r>
              <w:rPr>
                <w:rFonts w:ascii="Arial" w:cs="Arial" w:eastAsia="Arial" w:hAnsi="Arial"/>
                <w:sz w:val="18"/>
                <w:szCs w:val="18"/>
                <w:color w:val="auto"/>
              </w:rPr>
              <w:t>562,575</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rPr>
              <w:t>(657,001)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8"/>
              </w:rPr>
              <w:t>(580,779)</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8"/>
              </w:rPr>
              <w:t>215,360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rPr>
              <w:t>197,757</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8"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Deferred revenue (current), beginning of period for the three months ended March 31, 2025 includes $6.6 million related to acquired deferred revenue.</w:t>
      </w:r>
    </w:p>
    <w:p>
      <w:pPr>
        <w:spacing w:after="0" w:line="23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Free Cash Flow</w:t>
      </w:r>
    </w:p>
    <w:p>
      <w:pPr>
        <w:spacing w:after="0" w:line="22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cash.</w:t>
      </w:r>
    </w:p>
    <w:p>
      <w:pPr>
        <w:spacing w:after="0" w:line="17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pacing w:after="0" w:line="183"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financial measure calculated in accordance with GAAP, to free cash flow: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8260" w:type="dxa"/>
            <w:vAlign w:val="bottom"/>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47,129</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6"/>
                <w:szCs w:val="16"/>
                <w:color w:val="auto"/>
              </w:rPr>
              <w:t>(1)  Free cash flow for the periods presented was impacted by:</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and other financing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Employee stock purchase plan activity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9"/>
        </w:trPr>
        <w:tc>
          <w:tcPr>
            <w:tcW w:w="826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Metrics</w:t>
      </w:r>
    </w:p>
    <w:p>
      <w:pPr>
        <w:spacing w:after="0" w:line="22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6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920" w:type="dxa"/>
            <w:vAlign w:val="bottom"/>
            <w:gridSpan w:val="3"/>
          </w:tcPr>
          <w:p>
            <w:pPr>
              <w:jc w:val="right"/>
              <w:ind w:right="41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23"/>
        </w:trPr>
        <w:tc>
          <w:tcPr>
            <w:tcW w:w="6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3"/>
                <w:szCs w:val="23"/>
                <w:color w:val="auto"/>
                <w:vertAlign w:val="superscript"/>
              </w:rPr>
              <w:t>(1)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(12)%</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62"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new enterprise platform customers added in three months ended March 31, 2025 includes 26 legacy customers of Vulcan.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March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c>
          <w:tcPr>
            <w:tcW w:w="0" w:type="dxa"/>
            <w:vAlign w:val="bottom"/>
          </w:tcPr>
          <w:p>
            <w:pPr>
              <w:spacing w:after="0"/>
              <w:rPr>
                <w:sz w:val="1"/>
                <w:szCs w:val="1"/>
                <w:color w:val="auto"/>
              </w:rPr>
            </w:pPr>
          </w:p>
        </w:tc>
      </w:tr>
      <w:tr>
        <w:trPr>
          <w:trHeight w:val="156"/>
        </w:trPr>
        <w:tc>
          <w:tcPr>
            <w:tcW w:w="6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vMerge w:val="restart"/>
            <w:shd w:val="clear" w:color="auto" w:fill="CCEEFF"/>
          </w:tcPr>
          <w:p>
            <w:pPr>
              <w:jc w:val="right"/>
              <w:ind w:right="375"/>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356"/>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4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223" w:lineRule="exact"/>
        <w:rPr>
          <w:sz w:val="20"/>
          <w:szCs w:val="20"/>
          <w:color w:val="auto"/>
        </w:rPr>
      </w:pPr>
    </w:p>
    <w:p>
      <w:pPr>
        <w:jc w:val="both"/>
        <w:ind w:right="220" w:firstLine="324"/>
        <w:spacing w:after="0" w:line="257" w:lineRule="auto"/>
        <w:rPr>
          <w:sz w:val="20"/>
          <w:szCs w:val="20"/>
          <w:color w:val="auto"/>
        </w:rPr>
      </w:pPr>
      <w:r>
        <w:rPr>
          <w:rFonts w:ascii="Arial" w:cs="Arial" w:eastAsia="Arial" w:hAnsi="Arial"/>
          <w:sz w:val="18"/>
          <w:szCs w:val="18"/>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dollar-based net expansion rate is evaluated on a last twelve months, or LTM, basis, and is calculated as follows:</w:t>
      </w:r>
    </w:p>
    <w:p>
      <w:pPr>
        <w:spacing w:after="0" w:line="225" w:lineRule="exact"/>
        <w:rPr>
          <w:sz w:val="20"/>
          <w:szCs w:val="20"/>
          <w:color w:val="auto"/>
        </w:rPr>
      </w:pPr>
    </w:p>
    <w:p>
      <w:pPr>
        <w:ind w:left="660" w:right="4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dollar-based net expansion rate:</w:t>
      </w:r>
    </w:p>
    <w:p>
      <w:pPr>
        <w:spacing w:after="0" w:line="54"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Income from Operations and Non-GAAP Operating Margin</w:t>
      </w:r>
    </w:p>
    <w:p>
      <w:pPr>
        <w:spacing w:after="0" w:line="223"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We use non-GAAP income from operations along with non-GAAP operating margin as key indicators of our financial performance. We define these non-GAAP financial measures as their respective GAAP measures, excluding the effects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w:t>
      </w:r>
    </w:p>
    <w:p>
      <w:pPr>
        <w:spacing w:after="0" w:line="1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w:t>
      </w:r>
    </w:p>
    <w:p>
      <w:pPr>
        <w:spacing w:after="0" w:line="179" w:lineRule="exact"/>
        <w:rPr>
          <w:sz w:val="20"/>
          <w:szCs w:val="20"/>
          <w:color w:val="auto"/>
        </w:rPr>
      </w:pPr>
    </w:p>
    <w:p>
      <w:pPr>
        <w:jc w:val="both"/>
        <w:ind w:right="620" w:firstLine="324"/>
        <w:spacing w:after="0" w:line="268"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from operations, and operating margin, the most directly comparable financial measure calculated in accordance with GAAP, to non-GAAP operating margin: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2024</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(17,711)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(8,930)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55,903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39,719</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161</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1,389</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5,864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4,669</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Non-GAAP income from operations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48,677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37,008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margin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Income and Non-GAAP Earnings Per Share</w:t>
      </w:r>
    </w:p>
    <w:p>
      <w:pPr>
        <w:spacing w:after="0" w:line="22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and non-GAAP earnings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39,719</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29"/>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acquisitions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Non-GAAP 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Tax impact of acquisitions</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shares used to compute GAAP net loss per share, diluted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117,542</w:t>
            </w:r>
          </w:p>
        </w:tc>
      </w:tr>
      <w:tr>
        <w:trPr>
          <w:trHeight w:val="270"/>
        </w:trPr>
        <w:tc>
          <w:tcPr>
            <w:tcW w:w="8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9"/>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non-GAAP earnings per share, diluted</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124,152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123,266</w:t>
            </w:r>
          </w:p>
        </w:tc>
      </w:tr>
      <w:tr>
        <w:trPr>
          <w:trHeight w:val="200"/>
        </w:trPr>
        <w:tc>
          <w:tcPr>
            <w:tcW w:w="8260" w:type="dxa"/>
            <w:vAlign w:val="bottom"/>
          </w:tcPr>
          <w:p>
            <w:pPr>
              <w:spacing w:after="0"/>
              <w:rPr>
                <w:sz w:val="20"/>
                <w:szCs w:val="20"/>
                <w:color w:val="auto"/>
              </w:rPr>
            </w:pPr>
            <w:r>
              <w:rPr>
                <w:rFonts w:ascii="Arial" w:cs="Arial" w:eastAsia="Arial" w:hAnsi="Arial"/>
                <w:sz w:val="11"/>
                <w:szCs w:val="11"/>
                <w:color w:val="auto"/>
              </w:rPr>
              <w:t>________________</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46"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tax impact of acquisition-related expenses, restructuring and the amortization of acquired intangible assets are not material.</w:t>
      </w:r>
    </w:p>
    <w:p>
      <w:pPr>
        <w:spacing w:after="0" w:line="72" w:lineRule="exact"/>
        <w:rPr>
          <w:rFonts w:ascii="Arial" w:cs="Arial" w:eastAsia="Arial" w:hAnsi="Arial"/>
          <w:sz w:val="16"/>
          <w:szCs w:val="16"/>
          <w:color w:val="auto"/>
        </w:rPr>
      </w:pPr>
    </w:p>
    <w:p>
      <w:pPr>
        <w:ind w:right="480" w:firstLine="8"/>
        <w:spacing w:after="0" w:line="286" w:lineRule="auto"/>
        <w:tabs>
          <w:tab w:leader="none" w:pos="36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associated with perpetual licenses and professional services. We begin to recognize revenue when control of our software or services is transferred to the customer, which for sales made through our channel network is typically concurrent with the transfer to the end user.</w:t>
      </w:r>
    </w:p>
    <w:p>
      <w:pPr>
        <w:spacing w:after="0" w:line="20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We anticipate that these historical trends will be impacted by current macroeconomic conditions and U.S. policy decisions related to the funding of government agencies and the imposition of tariffs, which could lengthen purchasing and approval phases of our sales cycle in 2025.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176"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allocated overhead costs, including IT and facilities costs, as well as acquisition-related expenses.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allocated overhead costs and acquisition-related expenses. We capitalize sales commissions, including related fringe benefit costs, and recognize the expense over an estimated period of benefit, which ranges</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costs are expensed as incurred. Sales commissions on professional services arrangements are expensed as incurred as the contractual periods of these arrangements are generally less than one year.</w:t>
      </w:r>
    </w:p>
    <w:p>
      <w:pPr>
        <w:spacing w:after="0" w:line="15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in the second half of 2025 and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allocated overhead and acquisition-related expenses. Our research and development expense supports our efforts to continue to add capabilities to our existing products and enable the continued detection of new network vulnerabilities.</w:t>
      </w:r>
    </w:p>
    <w:p>
      <w:pPr>
        <w:spacing w:after="0" w:line="17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expenses.</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expect our general and administrative expense to continue to increase in absolute dollars and decrease as a percentage of our revenue over the long term, although our general and administrative expense may fluctuate from period to period due to the timing and extent of these expenses. In the three months ended March 31, 2025 our general and administrative expense included $15.5 million of termination benefits, including cash compensation and accelerated equity award vesting, related to the passing of our Chairman and Chief Executive Officer.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w:t>
      </w:r>
    </w:p>
    <w:p>
      <w:pPr>
        <w:spacing w:after="0" w:line="223"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Interest income consists of income earned on cash and cash equivalents and short-term investments. Interest expense consists primarily of interest expense in connection with our Term Loan, unused commitment fees on our Revolving Credit Facility, and letter of credit fees. Other income (expense), net consists primarily of foreign currency remeasurement and transaction gains and losses and any realized and unrealized gains and losses, including impairment losses and gains related to our non-marketable investments.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Provision for income taxes consists of income taxes in all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allowance for the foreseeable future as it is more likely than not that some or all of those deferred tax assets may not be realized based on our history of losses.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215,961</w:t>
            </w:r>
          </w:p>
        </w:tc>
      </w:tr>
      <w:tr>
        <w:trPr>
          <w:trHeight w:val="230"/>
        </w:trPr>
        <w:tc>
          <w:tcPr>
            <w:tcW w:w="81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48,932</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167,029</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99,825</w:t>
            </w:r>
          </w:p>
        </w:tc>
      </w:tr>
      <w:tr>
        <w:trPr>
          <w:trHeight w:val="229"/>
        </w:trPr>
        <w:tc>
          <w:tcPr>
            <w:tcW w:w="816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53,223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43,727</w:t>
            </w:r>
          </w:p>
        </w:tc>
      </w:tr>
      <w:tr>
        <w:trPr>
          <w:trHeight w:val="230"/>
        </w:trPr>
        <w:tc>
          <w:tcPr>
            <w:tcW w:w="81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2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204,388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175,959</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(8,930)</w:t>
            </w: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29"/>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(12,728)</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7"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15,300</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w:t>
            </w:r>
          </w:p>
        </w:tc>
      </w:tr>
      <w:tr>
        <w:trPr>
          <w:trHeight w:val="230"/>
        </w:trPr>
        <w:tc>
          <w:tcPr>
            <w:tcW w:w="81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w:t>
            </w:r>
          </w:p>
        </w:tc>
      </w:tr>
      <w:tr>
        <w:trPr>
          <w:trHeight w:val="248"/>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3" w:lineRule="exact"/>
        <w:rPr>
          <w:sz w:val="20"/>
          <w:szCs w:val="20"/>
          <w:color w:val="auto"/>
        </w:rPr>
      </w:pPr>
    </w:p>
    <w:p>
      <w:pPr>
        <w:ind w:right="420" w:firstLine="8"/>
        <w:spacing w:after="0" w:line="28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 in the three months ended March 31, 2025 includes $14.6 million of expense related to the accelerated equity award vesting of our late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2025 and 2024</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The increase in revenue of $23.2 million included $22.6 million from existing customers as of April 1, 2024 and $0.6 million from new customers. U.S. revenue increased $9.9 million, or 8%. International revenue increased $13.3 million, or 13%.</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52,460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186,677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167,029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$3.5 million was primarily due to:</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$1.2 million increase in amortization of intangible assets due to acquired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$1.1 million increase in depreciation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$0.9 million increase in personnel costs, including $0.3 million in stock-based compensation;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$0.2 million increase in subscription costs.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$3.4 million was primarily due to:</w:t>
      </w:r>
    </w:p>
    <w:p>
      <w:pPr>
        <w:spacing w:after="0" w:line="117" w:lineRule="exact"/>
        <w:rPr>
          <w:sz w:val="20"/>
          <w:szCs w:val="20"/>
          <w:color w:val="auto"/>
        </w:rPr>
      </w:pPr>
    </w:p>
    <w:p>
      <w:pPr>
        <w:ind w:left="660" w:right="440" w:hanging="328"/>
        <w:spacing w:after="0" w:line="28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$1.4 million increase in expenses for demand generation programs, including advertising, sponsorships and brand awareness efforts;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$1.1 million increase in acquisition-related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$0.9 million increase in sales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$9.5 million was primarily due to:</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$8.4 million increase in personnel costs, including a $1.8 million increase in stock-based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$1.3 million increase in acquisition-related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$0.4 million increase in allocated overhead;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$0.3 million decrease in depreciation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$0.2 million decrease in third-party cloud infrastructure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$0.1 million increase in tax credits.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$17.0 million was primarily due to:</w:t>
      </w:r>
    </w:p>
    <w:p>
      <w:pPr>
        <w:spacing w:after="0" w:line="63" w:lineRule="exact"/>
        <w:rPr>
          <w:sz w:val="20"/>
          <w:szCs w:val="20"/>
          <w:color w:val="auto"/>
        </w:rPr>
      </w:pPr>
    </w:p>
    <w:p>
      <w:pPr>
        <w:ind w:left="660" w:right="80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$13.9 million increase in personnel costs, including $15.5 million in termination benefits including cash compensation and accelerated equity award vesting related to the passing of our Chairman and Chief Executive Officer;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$2.1 million increase in acquisition-related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$0.7 million increase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$0.2 million increase in allocated overhead.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2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92"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Restructuring in the prior year included $1.4 million in non-ordinary course severance, employee related benefits and other charges to reorganize business operations.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4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The $0.7 million decrease in interest income was due to a decrease in short-term investments. Interest expense decreased $1.1 million due to a decrease in the interest rate on our Term Loan. Other income, net increased $1.8 million primarily due to foreign exchange gains.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4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2025, the provision for income taxes included:</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 million of income taxes in foreign jurisdictions in which we conduct business;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26"/>
        </w:numPr>
        <w:rPr>
          <w:rFonts w:ascii="Arial" w:cs="Arial" w:eastAsia="Arial" w:hAnsi="Arial"/>
          <w:sz w:val="16"/>
          <w:szCs w:val="16"/>
          <w:b w:val="1"/>
          <w:bCs w:val="1"/>
          <w:color w:val="auto"/>
        </w:rPr>
      </w:pPr>
      <w:r>
        <w:rPr>
          <w:rFonts w:ascii="Arial" w:cs="Arial" w:eastAsia="Arial" w:hAnsi="Arial"/>
          <w:sz w:val="18"/>
          <w:szCs w:val="18"/>
          <w:color w:val="auto"/>
        </w:rPr>
        <w:t>$1.5 million of discrete items primarily related to withholding taxes on sales to customers.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2024, the provision for income taxes included:</w:t>
      </w:r>
    </w:p>
    <w:p>
      <w:pPr>
        <w:spacing w:after="0" w:line="6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b w:val="1"/>
          <w:bCs w:val="1"/>
          <w:color w:val="auto"/>
        </w:rPr>
      </w:pPr>
      <w:r>
        <w:rPr>
          <w:rFonts w:ascii="Arial" w:cs="Arial" w:eastAsia="Arial" w:hAnsi="Arial"/>
          <w:sz w:val="18"/>
          <w:szCs w:val="18"/>
          <w:color w:val="auto"/>
        </w:rPr>
        <w:t>$1.3 million of discrete items primarily related to withholding taxes on sales to customers; and</w:t>
      </w:r>
    </w:p>
    <w:p>
      <w:pPr>
        <w:spacing w:after="0" w:line="63" w:lineRule="exact"/>
        <w:rPr>
          <w:rFonts w:ascii="Arial" w:cs="Arial" w:eastAsia="Arial" w:hAnsi="Arial"/>
          <w:sz w:val="16"/>
          <w:szCs w:val="16"/>
          <w:b w:val="1"/>
          <w:bCs w:val="1"/>
          <w:color w:val="auto"/>
        </w:rPr>
      </w:pPr>
    </w:p>
    <w:p>
      <w:pPr>
        <w:ind w:left="640" w:hanging="308"/>
        <w:spacing w:after="0"/>
        <w:tabs>
          <w:tab w:leader="none" w:pos="640" w:val="left"/>
        </w:tabs>
        <w:numPr>
          <w:ilvl w:val="0"/>
          <w:numId w:val="27"/>
        </w:numPr>
        <w:rPr>
          <w:rFonts w:ascii="Arial" w:cs="Arial" w:eastAsia="Arial" w:hAnsi="Arial"/>
          <w:sz w:val="16"/>
          <w:szCs w:val="16"/>
          <w:b w:val="1"/>
          <w:bCs w:val="1"/>
          <w:color w:val="auto"/>
        </w:rPr>
      </w:pPr>
      <w:r>
        <w:rPr>
          <w:rFonts w:ascii="Arial" w:cs="Arial" w:eastAsia="Arial" w:hAnsi="Arial"/>
          <w:sz w:val="18"/>
          <w:szCs w:val="18"/>
          <w:color w:val="auto"/>
        </w:rPr>
        <w:t>$0.4 million income taxes in foreign jurisdictions in which we conduct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At March 31, 2025, we had $233.4 million of cash and cash equivalents, which consisted of bank deposits and money market funds, and $226.8 million of short-term investments, which consisted of commercial paper, asset backed securities, U.S. Treasury and agency obligations and corporate and Yankee bonds.</w:t>
      </w:r>
    </w:p>
    <w:p>
      <w:pPr>
        <w:spacing w:after="0" w:line="171" w:lineRule="exact"/>
        <w:rPr>
          <w:sz w:val="20"/>
          <w:szCs w:val="20"/>
          <w:color w:val="auto"/>
        </w:rPr>
      </w:pPr>
    </w:p>
    <w:p>
      <w:pPr>
        <w:ind w:right="180" w:firstLine="324"/>
        <w:spacing w:after="0" w:line="282" w:lineRule="auto"/>
        <w:rPr>
          <w:sz w:val="20"/>
          <w:szCs w:val="20"/>
          <w:color w:val="auto"/>
        </w:rPr>
      </w:pPr>
      <w:r>
        <w:rPr>
          <w:rFonts w:ascii="Arial" w:cs="Arial" w:eastAsia="Arial" w:hAnsi="Arial"/>
          <w:sz w:val="17"/>
          <w:szCs w:val="17"/>
          <w:color w:val="auto"/>
        </w:rPr>
        <w:t>Since our inception, we have primarily financed our operations through cash provided by operations, including payments received from customers using our software products and services. Prior to our IPO, we did not raise any 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$884.3 million at March 31, 2025.</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March 31, 2025, we had deferred revenue of $ 808.4 million, of which $633.2 million was recorded as a current liability and is expected to be recognized as revenue in the next 12 months, provided all other revenue recognition criteria are met.</w:t>
      </w:r>
    </w:p>
    <w:p>
      <w:pPr>
        <w:spacing w:after="0" w:line="18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acquiring complementary businesses and technology, and repurchasing shares of our common stock. In February 2025, we acquired Vulcan for $148.5 million in cash. We expect to enter into arrangements to acquire or invest in other complementary businesses, services and technologies, including intellectual property rights, in the future.</w:t>
      </w:r>
    </w:p>
    <w:p>
      <w:pPr>
        <w:spacing w:after="0" w:line="17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to continue incurring operating losses in the near term. Even though we generated positive cash flows from operations and free cash flow in the three months ended March 31, 2025, we may not be able to sustain these cash flows. 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Plan</w:t>
      </w:r>
    </w:p>
    <w:p>
      <w:pPr>
        <w:spacing w:after="0" w:line="22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November 2023, our Board of Directors authorized the repurchase of up to $100 million of our common stock. In October 2024, our Board of Directors increased the repurchase authorization by $200 million. Since the inception of the repurchase program and through March 31, 2025, we have purchased a total of 4.3 million shares for $174.9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23" w:lineRule="exact"/>
        <w:rPr>
          <w:sz w:val="20"/>
          <w:szCs w:val="20"/>
          <w:color w:val="auto"/>
        </w:rPr>
      </w:pPr>
    </w:p>
    <w:p>
      <w:pPr>
        <w:jc w:val="both"/>
        <w:ind w:right="500" w:firstLine="324"/>
        <w:spacing w:after="0" w:line="268" w:lineRule="auto"/>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 $50.0 million Revolving Credit Facility, with a $15.0 million letter of credit sublimit. The Term Loan bears interest at a rate of 2.75% per annum over SOFR, subject to a 0.50% floor, plus a credit spread adjustment depending on the interest period.</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From January to March 2025, interest rates on our Term Loan were between 7.18% and 7.22%.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March 31, 2025, our first lien net leverage ratio was 0.86.</w:t>
      </w:r>
    </w:p>
    <w:p>
      <w:pPr>
        <w:spacing w:after="0" w:line="176" w:lineRule="exact"/>
        <w:rPr>
          <w:sz w:val="20"/>
          <w:szCs w:val="20"/>
          <w:color w:val="auto"/>
        </w:rPr>
      </w:pPr>
    </w:p>
    <w:p>
      <w:pPr>
        <w:jc w:val="both"/>
        <w:ind w:right="100" w:firstLine="324"/>
        <w:spacing w:after="0" w:line="262"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We pay a commitment fee during the term ranging from 0.25% to 0.375% per annum of the average daily undrawn portion of our Revolving Credit Facility. At March 31, 2025, we were in compliance with the covenants and had $0.2 million of standby letters of credit outstanding under the Revolving Credit Facility.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2024</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(11,580)</w:t>
            </w:r>
          </w:p>
        </w:tc>
      </w:tr>
      <w:tr>
        <w:trPr>
          <w:trHeight w:val="230"/>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ind w:right="320" w:firstLine="324"/>
        <w:spacing w:after="0" w:line="268"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Net cash used in investing activities increased by $120.5 million, primarily due to a $148.5 million increase in cash paid for acquisitions, a $5.9 million net increase in purchases of property and equipment and a $2.8 million decrease in proceeds from other investments, partially offset by a $34.8 million net decrease in purchases of short-term investments and a $1.9 million decrease in capitalized software development costs in the three months ended March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Net cash used in financing activities increased by $36.7 million, primarily due a $ 35.0 million increase in repurchases of our common stock under our stock repurchase program, a $1.5 million decrease in proceeds from the exercise of stock options and a $0.2 million decrease in proceeds from stock issued in connection with our employee stock 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We have certain contractual obligations for future payments. Refer to Note 7 to our consolidated financial statements for our required operating lease payments and Note 9 for our required payments to Microsoft and AWS for cloud services.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2025, there were no other material changes in our contractual obligations and commitments from those disclosed in our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March 31, 2025, we had $233.4 million of cash and cash equivalents, which consisted of cash deposits, money market funds and U.S. treasury and agency securities. We also had $226.8 million of short-term investments, which consisted of commercial paper, asset backed securities, U.S. treasury and agency securities and corporate and Yankee bonds. Our investments are carried at their fair market values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18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7"/>
          <w:szCs w:val="17"/>
          <w:color w:val="auto"/>
        </w:rPr>
        <w:t>In July 2021, we entered into the Credit Agreement comprised of a $375.0 million Term Loan and a $50.0 million Revolving Credit Facility. From January to March 2025, interest rates on our Term Loan have been between 7.18% and 7.22%. In April and May 2025, the Term Loan has an interest rate of 7.19%. A one percentage point increase in the rate would increase 2025 interest expense by $2.1 million.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Indian Rupee and Brazilian Real. Strengthening of the U.S. dollar compared to other currencies could result in lower international sales as our products would seem more expensive and could result in lower international operating costs as the U.S.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2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While we do not believe that inflation has had a material effect on our business, results of operations, or financial condition through March 31, 2025, our costs, specifically employee-related and third-party cloud infrastructure costs, may become subject to significant inflationary pressures, and our inability or failure to fully offset such higher costs could harm our business, results of operations, or financial condition.</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management, with the participation of our Co-Chief Executive Officer and Chief Financial Officer, has evaluated the effectiveness of our disclosure controls and procedures (as defined in Rules 13a-15(e) and 15d-15(e) under the Exchange Act), as of the end of the period covered by this Form 10-Q. Based on such evaluation, our Co-Chief Executive Officer and Chief Financial Officer has concluded that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March 31, 2025,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Co-Chief Executive Officer and Chief Financial Officer, to allow timely decisions regarding any required disclosure.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2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Co-Chief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Except for the risk factors disclosed below, there have been no material changes to the risk factors disclosed in Part 1, Item 1A. "Risk Factors" of our Form 10-K for the year ended December 31, 2024 filed with the United States Securities and Exchange Commission ("SEC") on February 24, 2025. Our business is subject to risks and events that, if they occur, could adversely affect our financial condition and results of operations and trading price of our securities. In addition to the other information set forth in this Form 10-Q, you should carefully consider the factors described in Part I, Item 1A. “Risk Factors” of our Form 10-K for the year ended December 31, 2024. We may disclose additional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85" w:lineRule="exact"/>
        <w:rPr>
          <w:sz w:val="20"/>
          <w:szCs w:val="20"/>
          <w:color w:val="auto"/>
        </w:rPr>
      </w:pPr>
    </w:p>
    <w:p>
      <w:pPr>
        <w:ind w:right="320" w:firstLine="324"/>
        <w:spacing w:after="0" w:line="294"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3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the operational stability of federal agencies, and the prioritization of cybersecurity and digital infrastructure initiatives. Funding reductions or delays, removal of agency operating budgets or deprioritization of cybersecurity digital infrastructure related initiatives would adversely affect public sector demand for our enterprise platform. For example, the new U.S. presidential administration’s commitment and actions to reduce government spending, including, but not limited to, those driven by The Department of Government Efficiency (DOGE), may impact availability of funding for U.S. government customers as a result of the elimination of departments and personnel. These actions could lead to fewer contract opportunities, elongated sales cycles and procurement decisions, or reduced funding for existing initiatives, which would adversely affect our business and financial performance. In addition, governmental entities have the authority to terminate contracts at any time for the convenience of the government, which creates risk regarding revenue anticipated under our existing government contracts.</w:t>
      </w:r>
    </w:p>
    <w:p>
      <w:pPr>
        <w:spacing w:after="0" w:line="18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190"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and customers who receive government funding.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17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 Moreover, as a U.S. government contractor, we maintain plans to ensure compliance with nondiscrimination and regulatory requirements for qualified employees on the basis of gender, race, disability and veteran status. Consequently, we may be subject to executive orders and regulatory changes affecting various aspects of our operations, including compliance with nondiscrimination plans. Any required elimination or modification of such plans in response to new executive orders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from future U.S. government contracts. Further, as a U.S. government contractor, we are subject to an increased risk of investigations, criminal prosecution, civil fraud, whistleblower lawsuits and other legal actions and liabilities as compared to solely private sector commercial companies.</w:t>
      </w:r>
    </w:p>
    <w:p>
      <w:pPr>
        <w:spacing w:after="0" w:line="18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7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8"/>
          <w:szCs w:val="18"/>
          <w:b w:val="1"/>
          <w:bCs w:val="1"/>
          <w:i w:val="1"/>
          <w:iCs w:val="1"/>
          <w:color w:val="auto"/>
        </w:rPr>
        <w:t>Unstable market and economic conditions may have material adverse consequences on our business, financial condition and share price.</w:t>
      </w:r>
    </w:p>
    <w:p>
      <w:pPr>
        <w:spacing w:after="0" w:line="1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global economy, including credit and financial markets, recently experienced extreme volatility and disruptions, including severely diminished liquidity and credit availability, declines in consumer confidence, declines in economic growth, increases in unemployment rates, inflation, interest rate fluctuations, increased global trade barriers, and uncertainty about economic stability. For example, in recent years the high rates of inflation, high interest rates and concerns about an economic recession in the United States or other major markets resulted in widespread unemployment, economic slowdown and extreme volatility in the capital markets. In 2022 and 2023, the Federal Reserve raised interest rates multiple times in response to concerns about inflation. While the Federal Reserve decreased interest rates in 2024, interest rates remain high and the Federal Reserve is not expected to significantly decrease interest rates in the immediate future.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international customers, which has impacted, and in the future could impact the budgets and purchasing decisions of certain of our existing and prospective international customers.</w:t>
      </w:r>
    </w:p>
    <w:p>
      <w:pPr>
        <w:spacing w:after="0" w:line="15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Increased inflation rates can adversely affect us by increasing our costs, including labor and employee benefit costs. In addition, higher inflation also could increase our customers’ operating costs, which could result in reduced budgets for our customers, longer sales cycles and potentially less demand for our products. Any significant increases in inflation and related increase in interest rates could have a material adverse effect on our business, results of operations and financial condition.</w:t>
      </w:r>
    </w:p>
    <w:p>
      <w:pPr>
        <w:spacing w:after="0" w:line="17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In addition, recent tariff actions and escalating trade tensions have contributed to heightened market uncertainty and increased operating costs for certain customers, which may cause private-sector customers to defer or reprioritize purchasing decisions as they assess potential impacts from ongoing trade negotiations and regulatory developments, which could extend enterprise procurement cycles and would adversely impact our business.</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retaliatory trade policies or anti-U.S. sentiment in certain regions whether driven by trade tensions, political disagreements, or regulatory concerns may make customers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w:t>
      </w:r>
    </w:p>
    <w:p>
      <w:pPr>
        <w:spacing w:after="0" w:line="18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Ongoing tariff and macroeconomic uncertainty has and may continue to contribute to volatility in the price of our common stock. Furthermore,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8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Form 10-K for the year ended December 31, 2024.</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Issuer Purchases of Equity Securities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40" w:type="dxa"/>
            <w:vAlign w:val="bottom"/>
            <w:gridSpan w:val="3"/>
          </w:tcPr>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8500" w:type="dxa"/>
            <w:vAlign w:val="bottom"/>
            <w:gridSpan w:val="11"/>
          </w:tcPr>
          <w:p>
            <w:pPr>
              <w:ind w:left="340"/>
              <w:spacing w:after="0"/>
              <w:rPr>
                <w:sz w:val="20"/>
                <w:szCs w:val="20"/>
                <w:color w:val="auto"/>
              </w:rPr>
            </w:pPr>
            <w:r>
              <w:rPr>
                <w:rFonts w:ascii="Arial" w:cs="Arial" w:eastAsia="Arial" w:hAnsi="Arial"/>
                <w:sz w:val="18"/>
                <w:szCs w:val="18"/>
                <w:color w:val="auto"/>
              </w:rPr>
              <w:t>A summary of stock repurchases during the three months ended March 31, 2025 is presented below:</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3"/>
          </w:tcPr>
          <w:p>
            <w:pPr>
              <w:jc w:val="center"/>
              <w:ind w:right="300"/>
              <w:spacing w:after="0" w:line="199" w:lineRule="exact"/>
              <w:rPr>
                <w:sz w:val="20"/>
                <w:szCs w:val="20"/>
                <w:color w:val="auto"/>
              </w:rPr>
            </w:pPr>
            <w:r>
              <w:rPr>
                <w:rFonts w:ascii="Arial" w:cs="Arial" w:eastAsia="Arial" w:hAnsi="Arial"/>
                <w:sz w:val="18"/>
                <w:szCs w:val="18"/>
                <w:b w:val="1"/>
                <w:bCs w:val="1"/>
                <w:color w:val="auto"/>
                <w:w w:val="98"/>
              </w:rPr>
              <w:t>Total Number of</w:t>
            </w:r>
          </w:p>
        </w:tc>
        <w:tc>
          <w:tcPr>
            <w:tcW w:w="2740" w:type="dxa"/>
            <w:vAlign w:val="bottom"/>
            <w:vMerge w:val="restart"/>
          </w:tcPr>
          <w:p>
            <w:pPr>
              <w:jc w:val="center"/>
              <w:ind w:right="95"/>
              <w:spacing w:after="0"/>
              <w:rPr>
                <w:sz w:val="20"/>
                <w:szCs w:val="20"/>
                <w:color w:val="auto"/>
              </w:rPr>
            </w:pPr>
            <w:r>
              <w:rPr>
                <w:rFonts w:ascii="Arial" w:cs="Arial" w:eastAsia="Arial" w:hAnsi="Arial"/>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76"/>
        </w:trPr>
        <w:tc>
          <w:tcPr>
            <w:tcW w:w="3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 thousands, except for per share</w:t>
            </w:r>
          </w:p>
        </w:tc>
        <w:tc>
          <w:tcPr>
            <w:tcW w:w="1220" w:type="dxa"/>
            <w:vAlign w:val="bottom"/>
            <w:vMerge w:val="restart"/>
          </w:tcPr>
          <w:p>
            <w:pPr>
              <w:jc w:val="right"/>
              <w:ind w:right="296"/>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Average Price</w:t>
            </w:r>
          </w:p>
        </w:tc>
        <w:tc>
          <w:tcPr>
            <w:tcW w:w="2100" w:type="dxa"/>
            <w:vAlign w:val="bottom"/>
            <w:gridSpan w:val="3"/>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100" w:type="dxa"/>
            <w:vAlign w:val="bottom"/>
            <w:gridSpan w:val="3"/>
          </w:tcPr>
          <w:p>
            <w:pPr>
              <w:jc w:val="center"/>
              <w:ind w:right="300"/>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2740" w:type="dxa"/>
            <w:vAlign w:val="bottom"/>
          </w:tcPr>
          <w:p>
            <w:pPr>
              <w:jc w:val="center"/>
              <w:ind w:right="75"/>
              <w:spacing w:after="0" w:line="189"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data)</w:t>
            </w:r>
          </w:p>
        </w:tc>
        <w:tc>
          <w:tcPr>
            <w:tcW w:w="100" w:type="dxa"/>
            <w:vAlign w:val="bottom"/>
            <w:tcBorders>
              <w:bottom w:val="single" w:sz="8" w:color="BFE4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Purchased</w:t>
            </w:r>
          </w:p>
        </w:tc>
        <w:tc>
          <w:tcPr>
            <w:tcW w:w="120" w:type="dxa"/>
            <w:vAlign w:val="bottom"/>
            <w:tcBorders>
              <w:bottom w:val="single" w:sz="8" w:color="BFE4FF"/>
            </w:tcBorders>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Paid Per Share</w:t>
            </w:r>
          </w:p>
        </w:tc>
        <w:tc>
          <w:tcPr>
            <w:tcW w:w="120" w:type="dxa"/>
            <w:vAlign w:val="bottom"/>
            <w:tcBorders>
              <w:bottom w:val="single" w:sz="8" w:color="BFE4FF"/>
            </w:tcBorders>
          </w:tcPr>
          <w:p>
            <w:pPr>
              <w:spacing w:after="0"/>
              <w:rPr>
                <w:sz w:val="19"/>
                <w:szCs w:val="19"/>
                <w:color w:val="auto"/>
              </w:rPr>
            </w:pPr>
          </w:p>
        </w:tc>
        <w:tc>
          <w:tcPr>
            <w:tcW w:w="18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7"/>
              </w:rPr>
              <w:t>Announced Plan</w:t>
            </w:r>
            <w:r>
              <w:rPr>
                <w:rFonts w:ascii="Arial" w:cs="Arial" w:eastAsia="Arial" w:hAnsi="Arial"/>
                <w:sz w:val="23"/>
                <w:szCs w:val="23"/>
                <w:b w:val="1"/>
                <w:bCs w:val="1"/>
                <w:color w:val="auto"/>
                <w:w w:val="97"/>
                <w:vertAlign w:val="superscript"/>
              </w:rPr>
              <w:t>(1)</w:t>
            </w:r>
          </w:p>
        </w:tc>
        <w:tc>
          <w:tcPr>
            <w:tcW w:w="100" w:type="dxa"/>
            <w:vAlign w:val="bottom"/>
            <w:tcBorders>
              <w:bottom w:val="single" w:sz="8" w:color="BFE4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75"/>
              <w:spacing w:after="0" w:line="230" w:lineRule="exact"/>
              <w:rPr>
                <w:sz w:val="20"/>
                <w:szCs w:val="20"/>
                <w:color w:val="auto"/>
              </w:rPr>
            </w:pPr>
            <w:r>
              <w:rPr>
                <w:rFonts w:ascii="Arial" w:cs="Arial" w:eastAsia="Arial" w:hAnsi="Arial"/>
                <w:sz w:val="18"/>
                <w:szCs w:val="18"/>
                <w:b w:val="1"/>
                <w:bCs w:val="1"/>
                <w:color w:val="auto"/>
                <w:w w:val="97"/>
              </w:rPr>
              <w:t>Purchased Under Plan</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155"/>
        </w:trPr>
        <w:tc>
          <w:tcPr>
            <w:tcW w:w="3400" w:type="dxa"/>
            <w:vAlign w:val="bottom"/>
            <w:shd w:val="clear" w:color="auto" w:fill="BFE4FF"/>
          </w:tcPr>
          <w:p>
            <w:pPr>
              <w:ind w:left="20"/>
              <w:spacing w:after="0" w:line="155" w:lineRule="exact"/>
              <w:rPr>
                <w:sz w:val="20"/>
                <w:szCs w:val="20"/>
                <w:color w:val="auto"/>
              </w:rPr>
            </w:pPr>
            <w:r>
              <w:rPr>
                <w:rFonts w:ascii="Arial" w:cs="Arial" w:eastAsia="Arial" w:hAnsi="Arial"/>
                <w:sz w:val="16"/>
                <w:szCs w:val="16"/>
                <w:color w:val="auto"/>
              </w:rPr>
              <w:t>Shares purchased January 1, 2025 to January</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2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BFE4FF"/>
          </w:tcPr>
          <w:p>
            <w:pPr>
              <w:ind w:left="1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100" w:type="dxa"/>
            <w:vAlign w:val="bottom"/>
            <w:gridSpan w:val="3"/>
            <w:vMerge w:val="restart"/>
            <w:shd w:val="clear" w:color="auto" w:fill="BFE4FF"/>
          </w:tcPr>
          <w:p>
            <w:pPr>
              <w:ind w:left="1580"/>
              <w:spacing w:after="0"/>
              <w:rPr>
                <w:sz w:val="20"/>
                <w:szCs w:val="20"/>
                <w:color w:val="auto"/>
              </w:rPr>
            </w:pPr>
            <w:r>
              <w:rPr>
                <w:rFonts w:ascii="Arial" w:cs="Arial" w:eastAsia="Arial" w:hAnsi="Arial"/>
                <w:sz w:val="16"/>
                <w:szCs w:val="16"/>
                <w:color w:val="auto"/>
              </w:rPr>
              <w:t>—   $</w:t>
            </w:r>
          </w:p>
        </w:tc>
        <w:tc>
          <w:tcPr>
            <w:tcW w:w="27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185,089</w:t>
            </w:r>
          </w:p>
        </w:tc>
        <w:tc>
          <w:tcPr>
            <w:tcW w:w="0" w:type="dxa"/>
            <w:vAlign w:val="bottom"/>
          </w:tcPr>
          <w:p>
            <w:pPr>
              <w:spacing w:after="0"/>
              <w:rPr>
                <w:sz w:val="1"/>
                <w:szCs w:val="1"/>
                <w:color w:val="auto"/>
              </w:rPr>
            </w:pPr>
          </w:p>
        </w:tc>
      </w:tr>
      <w:tr>
        <w:trPr>
          <w:trHeight w:val="216"/>
        </w:trPr>
        <w:tc>
          <w:tcPr>
            <w:tcW w:w="3400" w:type="dxa"/>
            <w:vAlign w:val="bottom"/>
            <w:shd w:val="clear" w:color="auto" w:fill="BFE4FF"/>
          </w:tcPr>
          <w:p>
            <w:pPr>
              <w:ind w:left="20"/>
              <w:spacing w:after="0"/>
              <w:rPr>
                <w:sz w:val="20"/>
                <w:szCs w:val="20"/>
                <w:color w:val="auto"/>
              </w:rPr>
            </w:pPr>
            <w:r>
              <w:rPr>
                <w:rFonts w:ascii="Arial" w:cs="Arial" w:eastAsia="Arial" w:hAnsi="Arial"/>
                <w:sz w:val="16"/>
                <w:szCs w:val="16"/>
                <w:color w:val="auto"/>
              </w:rPr>
              <w:t>31, 2025</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20" w:type="dxa"/>
            <w:vAlign w:val="bottom"/>
            <w:vMerge w:val="continue"/>
            <w:shd w:val="clear" w:color="auto" w:fill="BFE4FF"/>
          </w:tcPr>
          <w:p>
            <w:pPr>
              <w:spacing w:after="0"/>
              <w:rPr>
                <w:sz w:val="18"/>
                <w:szCs w:val="18"/>
                <w:color w:val="auto"/>
              </w:rPr>
            </w:pPr>
          </w:p>
        </w:tc>
        <w:tc>
          <w:tcPr>
            <w:tcW w:w="580" w:type="dxa"/>
            <w:vAlign w:val="bottom"/>
            <w:gridSpan w:val="2"/>
            <w:vMerge w:val="continue"/>
            <w:shd w:val="clear" w:color="auto" w:fill="BFE4FF"/>
          </w:tcPr>
          <w:p>
            <w:pPr>
              <w:spacing w:after="0"/>
              <w:rPr>
                <w:sz w:val="18"/>
                <w:szCs w:val="18"/>
                <w:color w:val="auto"/>
              </w:rPr>
            </w:pPr>
          </w:p>
        </w:tc>
        <w:tc>
          <w:tcPr>
            <w:tcW w:w="960" w:type="dxa"/>
            <w:vAlign w:val="bottom"/>
            <w:gridSpan w:val="2"/>
            <w:vMerge w:val="continue"/>
            <w:shd w:val="clear" w:color="auto" w:fill="BFE4FF"/>
          </w:tcPr>
          <w:p>
            <w:pPr>
              <w:spacing w:after="0"/>
              <w:rPr>
                <w:sz w:val="18"/>
                <w:szCs w:val="18"/>
                <w:color w:val="auto"/>
              </w:rPr>
            </w:pPr>
          </w:p>
        </w:tc>
        <w:tc>
          <w:tcPr>
            <w:tcW w:w="2100" w:type="dxa"/>
            <w:vAlign w:val="bottom"/>
            <w:gridSpan w:val="3"/>
            <w:vMerge w:val="continue"/>
            <w:shd w:val="clear" w:color="auto" w:fill="BFE4FF"/>
          </w:tcPr>
          <w:p>
            <w:pPr>
              <w:spacing w:after="0"/>
              <w:rPr>
                <w:sz w:val="18"/>
                <w:szCs w:val="18"/>
                <w:color w:val="auto"/>
              </w:rPr>
            </w:pPr>
          </w:p>
        </w:tc>
        <w:tc>
          <w:tcPr>
            <w:tcW w:w="27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4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Shares purchased February 1, 2025 to</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38.18</w:t>
            </w:r>
          </w:p>
        </w:tc>
        <w:tc>
          <w:tcPr>
            <w:tcW w:w="12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vMerge w:val="restart"/>
          </w:tcPr>
          <w:p>
            <w:pPr>
              <w:jc w:val="right"/>
              <w:spacing w:after="0"/>
              <w:rPr>
                <w:sz w:val="20"/>
                <w:szCs w:val="20"/>
                <w:color w:val="auto"/>
              </w:rPr>
            </w:pPr>
            <w:r>
              <w:rPr>
                <w:rFonts w:ascii="Arial" w:cs="Arial" w:eastAsia="Arial" w:hAnsi="Arial"/>
                <w:sz w:val="16"/>
                <w:szCs w:val="16"/>
                <w:color w:val="auto"/>
              </w:rPr>
              <w:t>165,089</w:t>
            </w:r>
          </w:p>
        </w:tc>
        <w:tc>
          <w:tcPr>
            <w:tcW w:w="0" w:type="dxa"/>
            <w:vAlign w:val="bottom"/>
          </w:tcPr>
          <w:p>
            <w:pPr>
              <w:spacing w:after="0"/>
              <w:rPr>
                <w:sz w:val="1"/>
                <w:szCs w:val="1"/>
                <w:color w:val="auto"/>
              </w:rPr>
            </w:pPr>
          </w:p>
        </w:tc>
      </w:tr>
      <w:tr>
        <w:trPr>
          <w:trHeight w:val="215"/>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February 28, 2025</w:t>
            </w: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40" w:type="dxa"/>
            <w:vAlign w:val="bottom"/>
            <w:gridSpan w:val="3"/>
            <w:shd w:val="clear" w:color="auto" w:fill="BFE4FF"/>
          </w:tcPr>
          <w:p>
            <w:pPr>
              <w:ind w:left="20"/>
              <w:spacing w:after="0" w:line="163" w:lineRule="exact"/>
              <w:rPr>
                <w:sz w:val="20"/>
                <w:szCs w:val="20"/>
                <w:color w:val="auto"/>
              </w:rPr>
            </w:pPr>
            <w:r>
              <w:rPr>
                <w:rFonts w:ascii="Arial" w:cs="Arial" w:eastAsia="Arial" w:hAnsi="Arial"/>
                <w:sz w:val="16"/>
                <w:szCs w:val="16"/>
                <w:color w:val="auto"/>
              </w:rPr>
              <w:t>Shares purchased March 1, 2025 to March 31,</w:t>
            </w:r>
          </w:p>
        </w:tc>
        <w:tc>
          <w:tcPr>
            <w:tcW w:w="12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shd w:val="clear" w:color="auto" w:fill="BFE4FF"/>
          </w:tcPr>
          <w:p>
            <w:pPr>
              <w:spacing w:after="0"/>
              <w:rPr>
                <w:sz w:val="14"/>
                <w:szCs w:val="14"/>
                <w:color w:val="auto"/>
              </w:rPr>
            </w:pPr>
          </w:p>
        </w:tc>
        <w:tc>
          <w:tcPr>
            <w:tcW w:w="460" w:type="dxa"/>
            <w:vAlign w:val="bottom"/>
            <w:shd w:val="clear" w:color="auto" w:fill="BFE4FF"/>
          </w:tcPr>
          <w:p>
            <w:pPr>
              <w:spacing w:after="0"/>
              <w:rPr>
                <w:sz w:val="14"/>
                <w:szCs w:val="14"/>
                <w:color w:val="auto"/>
              </w:rPr>
            </w:pPr>
          </w:p>
        </w:tc>
        <w:tc>
          <w:tcPr>
            <w:tcW w:w="8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36.87</w:t>
            </w:r>
          </w:p>
        </w:tc>
        <w:tc>
          <w:tcPr>
            <w:tcW w:w="120" w:type="dxa"/>
            <w:vAlign w:val="bottom"/>
            <w:shd w:val="clear" w:color="auto" w:fill="BFE4FF"/>
          </w:tcPr>
          <w:p>
            <w:pPr>
              <w:spacing w:after="0"/>
              <w:rPr>
                <w:sz w:val="14"/>
                <w:szCs w:val="14"/>
                <w:color w:val="auto"/>
              </w:rPr>
            </w:pPr>
          </w:p>
        </w:tc>
        <w:tc>
          <w:tcPr>
            <w:tcW w:w="1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27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125,089</w:t>
            </w:r>
          </w:p>
        </w:tc>
        <w:tc>
          <w:tcPr>
            <w:tcW w:w="0" w:type="dxa"/>
            <w:vAlign w:val="bottom"/>
          </w:tcPr>
          <w:p>
            <w:pPr>
              <w:spacing w:after="0"/>
              <w:rPr>
                <w:sz w:val="1"/>
                <w:szCs w:val="1"/>
                <w:color w:val="auto"/>
              </w:rPr>
            </w:pPr>
          </w:p>
        </w:tc>
      </w:tr>
      <w:tr>
        <w:trPr>
          <w:trHeight w:val="215"/>
        </w:trPr>
        <w:tc>
          <w:tcPr>
            <w:tcW w:w="3400" w:type="dxa"/>
            <w:vAlign w:val="bottom"/>
            <w:shd w:val="clear" w:color="auto" w:fill="BFE4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4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8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27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37.30</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100" w:firstLine="8"/>
        <w:spacing w:after="0" w:line="262"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November 2023, our Board of Directors authorized the repurchase of up to $100 million of our common stock. In October 2024, our Board of Directors increased the repurchase authorization by $200 million.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800" w:type="dxa"/>
            <w:vAlign w:val="bottom"/>
            <w:gridSpan w:val="17"/>
          </w:tcPr>
          <w:p>
            <w:pPr>
              <w:spacing w:after="0"/>
              <w:rPr>
                <w:sz w:val="20"/>
                <w:szCs w:val="20"/>
                <w:color w:val="auto"/>
              </w:rPr>
            </w:pPr>
            <w:r>
              <w:rPr>
                <w:rFonts w:ascii="Arial" w:cs="Arial" w:eastAsia="Arial" w:hAnsi="Arial"/>
                <w:sz w:val="18"/>
                <w:szCs w:val="18"/>
                <w:b w:val="1"/>
                <w:bCs w:val="1"/>
                <w:color w:val="auto"/>
              </w:rPr>
              <w:t>Exhibits</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7780" w:type="dxa"/>
            <w:vAlign w:val="bottom"/>
            <w:gridSpan w:val="18"/>
          </w:tcPr>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80" w:type="dxa"/>
            <w:vAlign w:val="bottom"/>
          </w:tcPr>
          <w:p>
            <w:pPr>
              <w:jc w:val="right"/>
              <w:ind w:right="130"/>
              <w:spacing w:after="0" w:line="199" w:lineRule="exact"/>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300" w:type="dxa"/>
            <w:vAlign w:val="bottom"/>
            <w:gridSpan w:val="12"/>
            <w:vMerge w:val="restart"/>
          </w:tcPr>
          <w:p>
            <w:pPr>
              <w:ind w:left="560"/>
              <w:spacing w:after="0"/>
              <w:rPr>
                <w:sz w:val="20"/>
                <w:szCs w:val="20"/>
                <w:color w:val="auto"/>
              </w:rPr>
            </w:pPr>
            <w:r>
              <w:rPr>
                <w:rFonts w:ascii="Arial" w:cs="Arial" w:eastAsia="Arial" w:hAnsi="Arial"/>
                <w:sz w:val="18"/>
                <w:szCs w:val="18"/>
                <w:color w:val="auto"/>
              </w:rPr>
              <w:t>Description</w:t>
            </w:r>
          </w:p>
        </w:tc>
        <w:tc>
          <w:tcPr>
            <w:tcW w:w="120" w:type="dxa"/>
            <w:vAlign w:val="bottom"/>
            <w:vMerge w:val="restart"/>
          </w:tcPr>
          <w:p>
            <w:pPr>
              <w:spacing w:after="0"/>
              <w:rPr>
                <w:sz w:val="17"/>
                <w:szCs w:val="17"/>
                <w:color w:val="auto"/>
              </w:rPr>
            </w:pPr>
          </w:p>
        </w:tc>
        <w:tc>
          <w:tcPr>
            <w:tcW w:w="3460" w:type="dxa"/>
            <w:vAlign w:val="bottom"/>
            <w:vMerge w:val="restart"/>
          </w:tcPr>
          <w:p>
            <w:pPr>
              <w:ind w:left="1380"/>
              <w:spacing w:after="0"/>
              <w:rPr>
                <w:sz w:val="20"/>
                <w:szCs w:val="20"/>
                <w:color w:val="auto"/>
              </w:rPr>
            </w:pPr>
            <w:r>
              <w:rPr>
                <w:rFonts w:ascii="Arial" w:cs="Arial" w:eastAsia="Arial" w:hAnsi="Arial"/>
                <w:sz w:val="18"/>
                <w:szCs w:val="18"/>
                <w:color w:val="auto"/>
              </w:rPr>
              <w:t>Location</w:t>
            </w:r>
          </w:p>
        </w:tc>
        <w:tc>
          <w:tcPr>
            <w:tcW w:w="0" w:type="dxa"/>
            <w:vAlign w:val="bottom"/>
          </w:tcPr>
          <w:p>
            <w:pPr>
              <w:spacing w:after="0"/>
              <w:rPr>
                <w:sz w:val="1"/>
                <w:szCs w:val="1"/>
                <w:color w:val="auto"/>
              </w:rPr>
            </w:pPr>
          </w:p>
        </w:tc>
      </w:tr>
      <w:tr>
        <w:trPr>
          <w:trHeight w:val="243"/>
        </w:trPr>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gridSpan w:val="1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gridSpan w:val="15"/>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Certificate of Incorporation of Tenable Holdings, Inc.</w:t>
              </w:r>
            </w:hyperlink>
          </w:p>
        </w:tc>
        <w:tc>
          <w:tcPr>
            <w:tcW w:w="3460" w:type="dxa"/>
            <w:vAlign w:val="bottom"/>
          </w:tcPr>
          <w:p>
            <w:pPr>
              <w:spacing w:after="0"/>
              <w:rPr>
                <w:sz w:val="20"/>
                <w:szCs w:val="20"/>
                <w:color w:val="auto"/>
              </w:rPr>
            </w:pPr>
            <w:r>
              <w:rPr>
                <w:rFonts w:ascii="Arial" w:cs="Arial" w:eastAsia="Arial" w:hAnsi="Arial"/>
                <w:sz w:val="18"/>
                <w:szCs w:val="18"/>
                <w:color w:val="auto"/>
              </w:rPr>
              <w:t>Previously filed as Exhibit 3.1 to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tcPr>
          <w:p>
            <w:pPr>
              <w:spacing w:after="0" w:line="157" w:lineRule="exact"/>
              <w:rPr>
                <w:sz w:val="20"/>
                <w:szCs w:val="20"/>
                <w:color w:val="auto"/>
              </w:rPr>
            </w:pPr>
            <w:r>
              <w:rPr>
                <w:rFonts w:ascii="Arial" w:cs="Arial" w:eastAsia="Arial" w:hAnsi="Arial"/>
                <w:sz w:val="18"/>
                <w:szCs w:val="18"/>
                <w:color w:val="auto"/>
              </w:rPr>
              <w:t>Company's Current Report on Form 8-K</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(File No. 001-38600) on July 30, 2018</w:t>
            </w:r>
          </w:p>
        </w:tc>
        <w:tc>
          <w:tcPr>
            <w:tcW w:w="0" w:type="dxa"/>
            <w:vAlign w:val="bottom"/>
          </w:tcPr>
          <w:p>
            <w:pPr>
              <w:spacing w:after="0"/>
              <w:rPr>
                <w:sz w:val="1"/>
                <w:szCs w:val="1"/>
                <w:color w:val="auto"/>
              </w:rPr>
            </w:pPr>
          </w:p>
        </w:tc>
      </w:tr>
      <w:tr>
        <w:trPr>
          <w:trHeight w:val="188"/>
        </w:trPr>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80" w:type="dxa"/>
            <w:vAlign w:val="bottom"/>
            <w:gridSpan w:val="15"/>
          </w:tcPr>
          <w:p>
            <w:pPr>
              <w:spacing w:after="0" w:line="181" w:lineRule="exact"/>
              <w:rPr>
                <w:rFonts w:ascii="Arial" w:cs="Arial" w:eastAsia="Arial" w:hAnsi="Arial"/>
                <w:sz w:val="18"/>
                <w:szCs w:val="18"/>
                <w:color w:val="0000FF"/>
              </w:rPr>
            </w:pPr>
            <w:hyperlink r:id="rId55">
              <w:r>
                <w:rPr>
                  <w:rFonts w:ascii="Arial" w:cs="Arial" w:eastAsia="Arial" w:hAnsi="Arial"/>
                  <w:sz w:val="18"/>
                  <w:szCs w:val="18"/>
                  <w:color w:val="0000FF"/>
                </w:rPr>
                <w:t>Second Amended and Restated Bylaws of Tenable Holdings, Inc.</w:t>
              </w:r>
            </w:hyperlink>
          </w:p>
        </w:tc>
        <w:tc>
          <w:tcPr>
            <w:tcW w:w="3460" w:type="dxa"/>
            <w:vAlign w:val="bottom"/>
          </w:tcPr>
          <w:p>
            <w:pPr>
              <w:spacing w:after="0" w:line="181" w:lineRule="exact"/>
              <w:rPr>
                <w:sz w:val="20"/>
                <w:szCs w:val="20"/>
                <w:color w:val="auto"/>
              </w:rPr>
            </w:pPr>
            <w:r>
              <w:rPr>
                <w:rFonts w:ascii="Arial" w:cs="Arial" w:eastAsia="Arial" w:hAnsi="Arial"/>
                <w:sz w:val="18"/>
                <w:szCs w:val="18"/>
                <w:color w:val="auto"/>
              </w:rPr>
              <w:t>Previously filed as Exhibit 3.1 to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tcPr>
          <w:p>
            <w:pPr>
              <w:spacing w:after="0" w:line="157" w:lineRule="exact"/>
              <w:rPr>
                <w:sz w:val="20"/>
                <w:szCs w:val="20"/>
                <w:color w:val="auto"/>
              </w:rPr>
            </w:pPr>
            <w:r>
              <w:rPr>
                <w:rFonts w:ascii="Arial" w:cs="Arial" w:eastAsia="Arial" w:hAnsi="Arial"/>
                <w:sz w:val="18"/>
                <w:szCs w:val="18"/>
                <w:color w:val="auto"/>
              </w:rPr>
              <w:t>Company's Current Report on Form 8-K</w:t>
            </w: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Pr>
          <w:p>
            <w:pPr>
              <w:spacing w:after="0" w:line="181" w:lineRule="exact"/>
              <w:rPr>
                <w:sz w:val="20"/>
                <w:szCs w:val="20"/>
                <w:color w:val="auto"/>
              </w:rPr>
            </w:pPr>
            <w:r>
              <w:rPr>
                <w:rFonts w:ascii="Arial" w:cs="Arial" w:eastAsia="Arial" w:hAnsi="Arial"/>
                <w:sz w:val="18"/>
                <w:szCs w:val="18"/>
                <w:color w:val="auto"/>
              </w:rPr>
              <w:t>(File No. 001-38600) on November 15,</w:t>
            </w: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88"/>
        </w:trPr>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80" w:type="dxa"/>
            <w:vAlign w:val="bottom"/>
            <w:gridSpan w:val="15"/>
          </w:tcPr>
          <w:p>
            <w:pPr>
              <w:spacing w:after="0" w:line="181" w:lineRule="exact"/>
              <w:rPr>
                <w:rFonts w:ascii="Arial" w:cs="Arial" w:eastAsia="Arial" w:hAnsi="Arial"/>
                <w:sz w:val="18"/>
                <w:szCs w:val="18"/>
                <w:color w:val="0000FF"/>
              </w:rPr>
            </w:pPr>
            <w:hyperlink r:id="rId56">
              <w:r>
                <w:rPr>
                  <w:rFonts w:ascii="Arial" w:cs="Arial" w:eastAsia="Arial" w:hAnsi="Arial"/>
                  <w:sz w:val="18"/>
                  <w:szCs w:val="18"/>
                  <w:color w:val="0000FF"/>
                </w:rPr>
                <w:t>Common Stock Certificate of Tenable Holdings, Inc.</w:t>
              </w:r>
            </w:hyperlink>
          </w:p>
        </w:tc>
        <w:tc>
          <w:tcPr>
            <w:tcW w:w="3460" w:type="dxa"/>
            <w:vAlign w:val="bottom"/>
          </w:tcPr>
          <w:p>
            <w:pPr>
              <w:spacing w:after="0" w:line="181" w:lineRule="exact"/>
              <w:rPr>
                <w:sz w:val="20"/>
                <w:szCs w:val="20"/>
                <w:color w:val="auto"/>
              </w:rPr>
            </w:pPr>
            <w:r>
              <w:rPr>
                <w:rFonts w:ascii="Arial" w:cs="Arial" w:eastAsia="Arial" w:hAnsi="Arial"/>
                <w:sz w:val="18"/>
                <w:szCs w:val="18"/>
                <w:color w:val="auto"/>
              </w:rPr>
              <w:t>Previously filed as Exhibit 4.1 to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tcPr>
          <w:p>
            <w:pPr>
              <w:spacing w:after="0" w:line="157" w:lineRule="exact"/>
              <w:rPr>
                <w:sz w:val="20"/>
                <w:szCs w:val="20"/>
                <w:color w:val="auto"/>
              </w:rPr>
            </w:pPr>
            <w:r>
              <w:rPr>
                <w:rFonts w:ascii="Arial" w:cs="Arial" w:eastAsia="Arial" w:hAnsi="Arial"/>
                <w:sz w:val="18"/>
                <w:szCs w:val="18"/>
                <w:color w:val="auto"/>
              </w:rPr>
              <w:t>Company's Registration Statement on</w:t>
            </w: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Pr>
          <w:p>
            <w:pPr>
              <w:spacing w:after="0" w:line="181" w:lineRule="exact"/>
              <w:rPr>
                <w:sz w:val="20"/>
                <w:szCs w:val="20"/>
                <w:color w:val="auto"/>
              </w:rPr>
            </w:pPr>
            <w:r>
              <w:rPr>
                <w:rFonts w:ascii="Arial" w:cs="Arial" w:eastAsia="Arial" w:hAnsi="Arial"/>
                <w:sz w:val="18"/>
                <w:szCs w:val="18"/>
                <w:color w:val="auto"/>
              </w:rPr>
              <w:t>Form S-1 (File No. 333-226002) on July</w:t>
            </w: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16, 2018</w:t>
            </w:r>
          </w:p>
        </w:tc>
        <w:tc>
          <w:tcPr>
            <w:tcW w:w="0" w:type="dxa"/>
            <w:vAlign w:val="bottom"/>
          </w:tcPr>
          <w:p>
            <w:pPr>
              <w:spacing w:after="0"/>
              <w:rPr>
                <w:sz w:val="1"/>
                <w:szCs w:val="1"/>
                <w:color w:val="auto"/>
              </w:rPr>
            </w:pPr>
          </w:p>
        </w:tc>
      </w:tr>
      <w:tr>
        <w:trPr>
          <w:trHeight w:val="188"/>
        </w:trPr>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80" w:type="dxa"/>
            <w:vAlign w:val="bottom"/>
            <w:gridSpan w:val="15"/>
          </w:tcPr>
          <w:p>
            <w:pPr>
              <w:spacing w:after="0" w:line="181" w:lineRule="exact"/>
              <w:rPr>
                <w:rFonts w:ascii="Arial" w:cs="Arial" w:eastAsia="Arial" w:hAnsi="Arial"/>
                <w:sz w:val="18"/>
                <w:szCs w:val="18"/>
                <w:color w:val="0000FF"/>
              </w:rPr>
            </w:pPr>
            <w:hyperlink r:id="rId57">
              <w:r>
                <w:rPr>
                  <w:rFonts w:ascii="Arial" w:cs="Arial" w:eastAsia="Arial" w:hAnsi="Arial"/>
                  <w:sz w:val="18"/>
                  <w:szCs w:val="18"/>
                  <w:color w:val="0000FF"/>
                </w:rPr>
                <w:t>Share Purchase Agreement, dated as of January 29, 2025, by and among</w:t>
              </w:r>
            </w:hyperlink>
          </w:p>
        </w:tc>
        <w:tc>
          <w:tcPr>
            <w:tcW w:w="3460" w:type="dxa"/>
            <w:vAlign w:val="bottom"/>
          </w:tcPr>
          <w:p>
            <w:pPr>
              <w:spacing w:after="0" w:line="181" w:lineRule="exact"/>
              <w:rPr>
                <w:sz w:val="20"/>
                <w:szCs w:val="20"/>
                <w:color w:val="auto"/>
              </w:rPr>
            </w:pPr>
            <w:r>
              <w:rPr>
                <w:rFonts w:ascii="Arial" w:cs="Arial" w:eastAsia="Arial" w:hAnsi="Arial"/>
                <w:sz w:val="18"/>
                <w:szCs w:val="18"/>
                <w:color w:val="auto"/>
              </w:rPr>
              <w:t>Previously filed as Exhibit 2.1 to the</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00" w:type="dxa"/>
            <w:vAlign w:val="bottom"/>
            <w:tcBorders>
              <w:top w:val="single" w:sz="8" w:color="0000FF"/>
            </w:tcBorders>
            <w:gridSpan w:val="6"/>
          </w:tcPr>
          <w:p>
            <w:pPr>
              <w:spacing w:after="0" w:line="162" w:lineRule="exact"/>
              <w:rPr>
                <w:rFonts w:ascii="Arial" w:cs="Arial" w:eastAsia="Arial" w:hAnsi="Arial"/>
                <w:sz w:val="18"/>
                <w:szCs w:val="18"/>
                <w:color w:val="0000FF"/>
                <w:w w:val="97"/>
              </w:rPr>
            </w:pPr>
            <w:hyperlink r:id="rId57">
              <w:r>
                <w:rPr>
                  <w:rFonts w:ascii="Arial" w:cs="Arial" w:eastAsia="Arial" w:hAnsi="Arial"/>
                  <w:sz w:val="18"/>
                  <w:szCs w:val="18"/>
                  <w:color w:val="0000FF"/>
                  <w:w w:val="97"/>
                </w:rPr>
                <w:t>Ermetic Ltd., Vulcan Cyber Ltd., the shareholders of Vulcan Cyber identified</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7"/>
          </w:tcPr>
          <w:p>
            <w:pPr>
              <w:ind w:left="40"/>
              <w:spacing w:after="0" w:line="162" w:lineRule="exact"/>
              <w:rPr>
                <w:rFonts w:ascii="Arial" w:cs="Arial" w:eastAsia="Arial" w:hAnsi="Arial"/>
                <w:sz w:val="18"/>
                <w:szCs w:val="18"/>
                <w:color w:val="0000FF"/>
              </w:rPr>
            </w:pPr>
            <w:hyperlink r:id="rId57">
              <w:r>
                <w:rPr>
                  <w:rFonts w:ascii="Arial" w:cs="Arial" w:eastAsia="Arial" w:hAnsi="Arial"/>
                  <w:sz w:val="18"/>
                  <w:szCs w:val="18"/>
                  <w:color w:val="0000FF"/>
                </w:rPr>
                <w:t>on</w:t>
              </w:r>
            </w:hyperlink>
          </w:p>
        </w:tc>
        <w:tc>
          <w:tcPr>
            <w:tcW w:w="3460" w:type="dxa"/>
            <w:vAlign w:val="bottom"/>
          </w:tcPr>
          <w:p>
            <w:pPr>
              <w:spacing w:after="0" w:line="162" w:lineRule="exact"/>
              <w:rPr>
                <w:sz w:val="20"/>
                <w:szCs w:val="20"/>
                <w:color w:val="auto"/>
              </w:rPr>
            </w:pPr>
            <w:r>
              <w:rPr>
                <w:rFonts w:ascii="Arial" w:cs="Arial" w:eastAsia="Arial" w:hAnsi="Arial"/>
                <w:sz w:val="18"/>
                <w:szCs w:val="18"/>
                <w:color w:val="auto"/>
              </w:rPr>
              <w:t>Company's Current Report on Form 8-K</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the signature pages thereto, Shareholder Representative Services LLC and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3460" w:type="dxa"/>
            <w:vAlign w:val="bottom"/>
          </w:tcPr>
          <w:p>
            <w:pPr>
              <w:spacing w:after="0" w:line="169" w:lineRule="exact"/>
              <w:rPr>
                <w:sz w:val="20"/>
                <w:szCs w:val="20"/>
                <w:color w:val="auto"/>
              </w:rPr>
            </w:pPr>
            <w:r>
              <w:rPr>
                <w:rFonts w:ascii="Arial" w:cs="Arial" w:eastAsia="Arial" w:hAnsi="Arial"/>
                <w:sz w:val="18"/>
                <w:szCs w:val="18"/>
                <w:color w:val="auto"/>
              </w:rPr>
              <w:t>(File No. 001-38600) on January 29, 2025</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Tenable, Inc.</w:t>
              </w:r>
            </w:hyperlink>
          </w:p>
        </w:tc>
        <w:tc>
          <w:tcPr>
            <w:tcW w:w="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the Principal Executive Officer and Principal Financial Officer</w:t>
            </w:r>
          </w:p>
        </w:tc>
        <w:tc>
          <w:tcPr>
            <w:tcW w:w="640" w:type="dxa"/>
            <w:vAlign w:val="bottom"/>
            <w:gridSpan w:val="7"/>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gridSpan w:val="15"/>
          </w:tcPr>
          <w:p>
            <w:pPr>
              <w:spacing w:after="0" w:line="156" w:lineRule="exact"/>
              <w:rPr>
                <w:sz w:val="20"/>
                <w:szCs w:val="20"/>
                <w:color w:val="auto"/>
              </w:rPr>
            </w:pPr>
            <w:r>
              <w:rPr>
                <w:rFonts w:ascii="Arial" w:cs="Arial" w:eastAsia="Arial" w:hAnsi="Arial"/>
                <w:sz w:val="18"/>
                <w:szCs w:val="18"/>
                <w:color w:val="0000FF"/>
              </w:rPr>
              <w:t>pursuant to Rules 13a-14(a) and 15d-14(a) under the Exchange Act, as adopted</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pursuant to Section 302 of the Sarbanes-Oxley Act of 2002</w:t>
            </w:r>
          </w:p>
        </w:tc>
        <w:tc>
          <w:tcPr>
            <w:tcW w:w="300" w:type="dxa"/>
            <w:vAlign w:val="bottom"/>
            <w:gridSpan w:val="2"/>
          </w:tcPr>
          <w:p>
            <w:pPr>
              <w:spacing w:after="0"/>
              <w:rPr>
                <w:sz w:val="14"/>
                <w:szCs w:val="14"/>
                <w:color w:val="auto"/>
              </w:rPr>
            </w:pP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gridSpan w:val="15"/>
          </w:tcPr>
          <w:p>
            <w:pPr>
              <w:spacing w:after="0"/>
              <w:rPr>
                <w:sz w:val="20"/>
                <w:szCs w:val="20"/>
                <w:color w:val="auto"/>
              </w:rPr>
            </w:pPr>
            <w:r>
              <w:rPr>
                <w:rFonts w:ascii="Arial" w:cs="Arial" w:eastAsia="Arial" w:hAnsi="Arial"/>
                <w:sz w:val="18"/>
                <w:szCs w:val="18"/>
                <w:color w:val="0000FF"/>
              </w:rPr>
              <w:t>Certification of the Principal Executive Officer and the Principal Financial Officer</w:t>
            </w:r>
          </w:p>
        </w:tc>
        <w:tc>
          <w:tcPr>
            <w:tcW w:w="3460" w:type="dxa"/>
            <w:vAlign w:val="bottom"/>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pursuant to 18 U.S.C. Section 1350, as adopted pursuant to Section 906 of the</w:t>
            </w:r>
          </w:p>
        </w:tc>
        <w:tc>
          <w:tcPr>
            <w:tcW w:w="340" w:type="dxa"/>
            <w:vAlign w:val="bottom"/>
            <w:gridSpan w:val="3"/>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4040" w:type="dxa"/>
            <w:vAlign w:val="bottom"/>
            <w:tcBorders>
              <w:top w:val="single" w:sz="8" w:color="0000FF"/>
            </w:tcBorders>
            <w:gridSpan w:val="9"/>
          </w:tcPr>
          <w:p>
            <w:pPr>
              <w:spacing w:after="0"/>
              <w:rPr>
                <w:sz w:val="14"/>
                <w:szCs w:val="14"/>
                <w:color w:val="auto"/>
              </w:rPr>
            </w:pPr>
          </w:p>
        </w:tc>
        <w:tc>
          <w:tcPr>
            <w:tcW w:w="380" w:type="dxa"/>
            <w:vAlign w:val="bottom"/>
            <w:gridSpan w:val="4"/>
          </w:tcPr>
          <w:p>
            <w:pPr>
              <w:spacing w:after="0"/>
              <w:rPr>
                <w:sz w:val="14"/>
                <w:szCs w:val="14"/>
                <w:color w:val="auto"/>
              </w:rPr>
            </w:pP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jc w:val="right"/>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jc w:val="right"/>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80" w:type="dxa"/>
            <w:vAlign w:val="bottom"/>
          </w:tcPr>
          <w:p>
            <w:pPr>
              <w:jc w:val="right"/>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00" w:right="4200" w:hanging="438"/>
        <w:spacing w:after="0" w:line="229"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101.SCH, 101.CAL, 101.DEF, 101.LAB and 101.PRE)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7" w:lineRule="exact"/>
        <w:rPr>
          <w:sz w:val="20"/>
          <w:szCs w:val="20"/>
          <w:color w:val="auto"/>
        </w:rPr>
      </w:pPr>
    </w:p>
    <w:p>
      <w:pPr>
        <w:ind w:right="420" w:firstLine="8"/>
        <w:spacing w:after="0" w:line="258" w:lineRule="auto"/>
        <w:tabs>
          <w:tab w:leader="none" w:pos="3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70" w:lineRule="exact"/>
        <w:rPr>
          <w:sz w:val="20"/>
          <w:szCs w:val="20"/>
          <w:color w:val="auto"/>
        </w:rPr>
      </w:pPr>
    </w:p>
    <w:p>
      <w:pPr>
        <w:ind w:right="440" w:firstLine="8"/>
        <w:spacing w:after="0" w:line="268" w:lineRule="auto"/>
        <w:tabs>
          <w:tab w:leader="none" w:pos="4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Item 601(a)(5) of Regulation S-K, certain schedules and similar attachments have been omitted. The registrant hereby agrees to furnish a copy of any omitted schedule or similar attachment to the SEC upon request; provided, however, that Tenable may request confidential treatment pursuant to Rule 24b-2 of the Exchange Act for any schedule or exhibit so furnished.</w:t>
      </w:r>
    </w:p>
    <w:p>
      <w:pPr>
        <w:spacing w:after="0" w:line="63" w:lineRule="exact"/>
        <w:rPr>
          <w:sz w:val="20"/>
          <w:szCs w:val="20"/>
          <w:color w:val="auto"/>
        </w:rPr>
      </w:pPr>
    </w:p>
    <w:p>
      <w:pPr>
        <w:jc w:val="both"/>
        <w:ind w:right="80" w:firstLine="8"/>
        <w:spacing w:after="0" w:line="268"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Item 601(b)(10)(iv) of Regulation S-K promulgated by the SEC, certain portions of this exhibit have been redacted because the registrant customarily and actually treats such omitted information as private or confidential and because such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TENABLE HOLDINGS, INC.</w:t>
            </w:r>
          </w:p>
        </w:tc>
      </w:tr>
      <w:tr>
        <w:trPr>
          <w:trHeight w:val="4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00"/>
              <w:spacing w:after="0"/>
              <w:rPr>
                <w:sz w:val="20"/>
                <w:szCs w:val="20"/>
                <w:color w:val="auto"/>
              </w:rPr>
            </w:pPr>
            <w:r>
              <w:rPr>
                <w:rFonts w:ascii="Arial" w:cs="Arial" w:eastAsia="Arial" w:hAnsi="Arial"/>
                <w:sz w:val="18"/>
                <w:szCs w:val="18"/>
                <w:color w:val="auto"/>
              </w:rPr>
              <w:t>May 6, 2025</w:t>
            </w:r>
          </w:p>
        </w:tc>
        <w:tc>
          <w:tcPr>
            <w:tcW w:w="2020" w:type="dxa"/>
            <w:vAlign w:val="bottom"/>
          </w:tcPr>
          <w:p>
            <w:pPr>
              <w:ind w:left="160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32"/>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Co-Chief Executive Officer and Chief Financial Officer</w:t>
            </w:r>
          </w:p>
        </w:tc>
      </w:tr>
      <w:tr>
        <w:trPr>
          <w:trHeight w:val="237"/>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00"/>
              <w:spacing w:after="0"/>
              <w:rPr>
                <w:sz w:val="20"/>
                <w:szCs w:val="20"/>
                <w:color w:val="auto"/>
              </w:rPr>
            </w:pPr>
            <w:r>
              <w:rPr>
                <w:rFonts w:ascii="Arial" w:cs="Arial" w:eastAsia="Arial" w:hAnsi="Arial"/>
                <w:sz w:val="18"/>
                <w:szCs w:val="18"/>
                <w:color w:val="auto"/>
              </w:rPr>
              <w:t>May 6, 2025</w:t>
            </w:r>
          </w:p>
        </w:tc>
        <w:tc>
          <w:tcPr>
            <w:tcW w:w="2020" w:type="dxa"/>
            <w:vAlign w:val="bottom"/>
          </w:tcPr>
          <w:p>
            <w:pPr>
              <w:ind w:left="160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Barron Anschutz</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J. Barron Anschutz</w:t>
            </w:r>
          </w:p>
        </w:tc>
      </w:tr>
      <w:tr>
        <w:trPr>
          <w:trHeight w:val="232"/>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Senior Vice President, Finance and Accounting</w:t>
            </w:r>
          </w:p>
        </w:tc>
      </w:tr>
      <w:tr>
        <w:trPr>
          <w:trHeight w:val="237"/>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660"/>
        <w:spacing w:after="0" w:line="273"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EXCHANGE ACT RULES 13a-14(a) AND 15d-14(a) AS ADOPTED PURSUANT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44" w:lineRule="exact"/>
        <w:rPr>
          <w:sz w:val="20"/>
          <w:szCs w:val="20"/>
          <w:color w:val="auto"/>
        </w:rPr>
      </w:pPr>
    </w:p>
    <w:p>
      <w:pPr>
        <w:ind w:left="460" w:hanging="43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2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460" w:right="40" w:hanging="434"/>
        <w:spacing w:after="0" w:line="26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460" w:right="120" w:hanging="434"/>
        <w:spacing w:after="0" w:line="22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060" w:right="260" w:hanging="602"/>
        <w:spacing w:after="0" w:line="22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60" w:right="240" w:hanging="602"/>
        <w:spacing w:after="0" w:line="22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060" w:right="180" w:hanging="602"/>
        <w:spacing w:after="0" w:line="22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ind w:left="1060" w:right="320" w:hanging="602"/>
        <w:spacing w:after="0" w:line="22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ind w:left="460" w:right="20" w:hanging="434"/>
        <w:spacing w:after="0" w:line="22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1060" w:right="180" w:hanging="602"/>
        <w:spacing w:after="0" w:line="22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1060" w:right="100" w:hanging="602"/>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May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A. Vintz</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Co-Chief Executive Officer and Chief Financial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certifies to the best of his or her knowledge that, pursuant to the requirement set forth in Rule 13a-14(b) of the Securities Exchange Act of 1934, as amended (the "Exchange Act"), and 18 U.S.C. Section 1350, as adopted pursuant to Section 906 of the Sarbanes-Oxley Act of 2002, that the Quarterly Report on Form 10-Q of Tenable Holdings, Inc. for the fiscal quarter ended March 31, 2025 fully complies with the requirements of Section 13(a) or 15(d) of the Exchange Act and that information contained in such Quarterly Report on Form 10-Q fairly presents, in all material respects, the financial condition and results of operations of Tenable Holdings, Inc.</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r>
              <w:rPr>
                <w:rFonts w:ascii="Arial" w:cs="Arial" w:eastAsia="Arial" w:hAnsi="Arial"/>
                <w:sz w:val="18"/>
                <w:szCs w:val="18"/>
                <w:color w:val="auto"/>
              </w:rPr>
              <w:t>Date:   May 6, 2025</w:t>
            </w:r>
          </w:p>
        </w:tc>
        <w:tc>
          <w:tcPr>
            <w:tcW w:w="7520" w:type="dxa"/>
            <w:vAlign w:val="bottom"/>
            <w:gridSpan w:val="2"/>
          </w:tcPr>
          <w:p>
            <w:pPr>
              <w:ind w:left="2040"/>
              <w:spacing w:after="0"/>
              <w:rPr>
                <w:sz w:val="20"/>
                <w:szCs w:val="20"/>
                <w:color w:val="auto"/>
              </w:rPr>
            </w:pPr>
            <w:r>
              <w:rPr>
                <w:rFonts w:ascii="Arial" w:cs="Arial" w:eastAsia="Arial" w:hAnsi="Arial"/>
                <w:sz w:val="18"/>
                <w:szCs w:val="18"/>
                <w:color w:val="auto"/>
              </w:rPr>
              <w:t>By:  /s/ Stephen A. Vintz</w:t>
            </w:r>
          </w:p>
        </w:tc>
      </w:tr>
      <w:tr>
        <w:trPr>
          <w:trHeight w:val="218"/>
        </w:trPr>
        <w:tc>
          <w:tcPr>
            <w:tcW w:w="3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32"/>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Co-Chief Executive Officer and Chief Financial Officer</w:t>
            </w:r>
          </w:p>
        </w:tc>
      </w:tr>
      <w:tr>
        <w:trPr>
          <w:trHeight w:val="237"/>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54" Type="http://schemas.openxmlformats.org/officeDocument/2006/relationships/hyperlink" Target="https://www.sec.gov/Archives/edgar/data/1660280/000119312518231446/d562353dex31.htm" TargetMode="External"/><Relationship Id="rId55" Type="http://schemas.openxmlformats.org/officeDocument/2006/relationships/hyperlink" Target="https://www.sec.gov/Archives/edgar/data/1660280/000166028023000147/ex31.htm" TargetMode="External"/><Relationship Id="rId56" Type="http://schemas.openxmlformats.org/officeDocument/2006/relationships/hyperlink" Target="https://www.sec.gov/Archives/edgar/data/1660280/000119312518218215/d548092dex41.htm" TargetMode="External"/><Relationship Id="rId57" Type="http://schemas.openxmlformats.org/officeDocument/2006/relationships/hyperlink" Target="https://www.sec.gov/Archives/edgar/data/1660280/000166028025000007/ex21sharepurchase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2025-05-06T15:46:00Z</dcterms:created>
  <dcterms:modified xsi:type="dcterms:W3CDTF">2025-05-06T15:46:00Z</dcterms:modified>
</cp:coreProperties>
</file>