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7" w:right="319" w:bottom="1440" w:gutter="0" w:footer="0" w:header="0"/>
        </w:sectPr>
      </w:pPr>
    </w:p>
    <w:p>
      <w:pPr>
        <w:spacing w:after="0" w:line="154" w:lineRule="exact"/>
        <w:rPr>
          <w:sz w:val="24"/>
          <w:szCs w:val="24"/>
          <w:color w:val="auto"/>
        </w:rPr>
      </w:pPr>
    </w:p>
    <w:p>
      <w:pPr>
        <w:ind w:left="20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880" w:space="720"/>
            <w:col w:w="2740"/>
          </w:cols>
          <w:pgMar w:left="240" w:top="247"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13" w:lineRule="exact"/>
        <w:rPr>
          <w:sz w:val="24"/>
          <w:szCs w:val="24"/>
          <w:color w:val="auto"/>
        </w:rPr>
      </w:pPr>
    </w:p>
    <w:p>
      <w:pPr>
        <w:sectPr>
          <w:pgSz w:w="11900" w:h="16838" w:orient="portrait"/>
          <w:cols w:equalWidth="0" w:num="2">
            <w:col w:w="7060" w:space="720"/>
            <w:col w:w="3560"/>
          </w:cols>
          <w:pgMar w:left="240" w:top="247"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340"/>
          </w:cols>
          <w:pgMar w:left="240" w:top="247" w:right="319" w:bottom="1440" w:gutter="0" w:footer="0" w:header="0"/>
          <w:type w:val="continuous"/>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340" w:space="720"/>
            <w:col w:w="1920" w:space="720"/>
            <w:col w:w="3640"/>
          </w:cols>
          <w:pgMar w:left="240" w:top="247" w:right="31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140" w:lineRule="exact"/>
        <w:rPr>
          <w:sz w:val="24"/>
          <w:szCs w:val="24"/>
          <w:color w:val="auto"/>
        </w:rPr>
      </w:pPr>
    </w:p>
    <w:p>
      <w:pPr>
        <w:sectPr>
          <w:pgSz w:w="11900" w:h="16838" w:orient="portrait"/>
          <w:cols w:equalWidth="0" w:num="3">
            <w:col w:w="4780" w:space="720"/>
            <w:col w:w="1980" w:space="720"/>
            <w:col w:w="3140"/>
          </w:cols>
          <w:pgMar w:left="240" w:top="247" w:right="319" w:bottom="1440" w:gutter="0" w:footer="0" w:header="0"/>
          <w:type w:val="continuous"/>
        </w:sect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5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4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7" w:lineRule="exact"/>
        <w:rPr>
          <w:sz w:val="24"/>
          <w:szCs w:val="24"/>
          <w:color w:val="auto"/>
        </w:rPr>
      </w:pPr>
    </w:p>
    <w:p>
      <w:pPr>
        <w:jc w:val="both"/>
        <w:ind w:left="40" w:right="2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p>
      <w:pPr>
        <w:ind w:right="168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August 2, 2019 was 96,871,720.</w:t>
      </w:r>
    </w:p>
    <w:p>
      <w:pPr>
        <w:sectPr>
          <w:pgSz w:w="11900" w:h="16838" w:orient="portrait"/>
          <w:cols w:equalWidth="0" w:num="1">
            <w:col w:w="11340"/>
          </w:cols>
          <w:pgMar w:left="240" w:top="24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20" w:type="dxa"/>
            <w:vAlign w:val="bottom"/>
            <w:gridSpan w:val="11"/>
          </w:tcPr>
          <w:p>
            <w:pPr>
              <w:jc w:val="center"/>
              <w:ind w:right="3820"/>
              <w:spacing w:after="0"/>
              <w:rPr>
                <w:sz w:val="20"/>
                <w:szCs w:val="20"/>
                <w:color w:val="auto"/>
              </w:rPr>
            </w:pPr>
            <w:r>
              <w:rPr>
                <w:rFonts w:ascii="Arial" w:cs="Arial" w:eastAsia="Arial" w:hAnsi="Arial"/>
                <w:sz w:val="18"/>
                <w:szCs w:val="18"/>
                <w:b w:val="1"/>
                <w:bCs w:val="1"/>
                <w:color w:val="auto"/>
                <w:w w:val="99"/>
              </w:rPr>
              <w:t>TENABLE HOLDINGS,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gridSpan w:val="11"/>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67"/>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13"/>
          </w:tcPr>
          <w:p>
            <w:pPr>
              <w:jc w:val="center"/>
              <w:ind w:right="35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10"/>
          </w:tcPr>
          <w:p>
            <w:pPr>
              <w:spacing w:after="0"/>
              <w:rPr>
                <w:sz w:val="21"/>
                <w:szCs w:val="21"/>
                <w:color w:val="auto"/>
              </w:rPr>
            </w:pPr>
          </w:p>
        </w:tc>
        <w:tc>
          <w:tcPr>
            <w:tcW w:w="35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7460" w:type="dxa"/>
            <w:vAlign w:val="bottom"/>
            <w:gridSpan w:val="19"/>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Operations</w:t>
              </w:r>
            </w:hyperlink>
          </w:p>
        </w:tc>
        <w:tc>
          <w:tcPr>
            <w:tcW w:w="6680" w:type="dxa"/>
            <w:vAlign w:val="bottom"/>
            <w:gridSpan w:val="15"/>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w:t>
              </w:r>
            </w:hyperlink>
          </w:p>
        </w:tc>
        <w:tc>
          <w:tcPr>
            <w:tcW w:w="20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4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Redeemable Convertible Preferred Stock and Stockholders' Equity (Deficit)</w:t>
              </w:r>
            </w:hyperlink>
          </w:p>
        </w:tc>
        <w:tc>
          <w:tcPr>
            <w:tcW w:w="1580" w:type="dxa"/>
            <w:vAlign w:val="bottom"/>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Cash Flows</w:t>
              </w:r>
            </w:hyperlink>
          </w:p>
        </w:tc>
        <w:tc>
          <w:tcPr>
            <w:tcW w:w="6620" w:type="dxa"/>
            <w:vAlign w:val="bottom"/>
            <w:gridSpan w:val="14"/>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Financial Statements</w:t>
              </w:r>
            </w:hyperlink>
          </w:p>
        </w:tc>
        <w:tc>
          <w:tcPr>
            <w:tcW w:w="6320" w:type="dxa"/>
            <w:vAlign w:val="bottom"/>
            <w:gridSpan w:val="11"/>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9400" w:type="dxa"/>
            <w:vAlign w:val="bottom"/>
            <w:gridSpan w:val="27"/>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Business and Summary of Significant Accounting Policies</w:t>
              </w:r>
            </w:hyperlink>
          </w:p>
        </w:tc>
        <w:tc>
          <w:tcPr>
            <w:tcW w:w="20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2">
              <w:r>
                <w:rPr>
                  <w:rFonts w:ascii="Arial" w:cs="Arial" w:eastAsia="Arial" w:hAnsi="Arial"/>
                  <w:sz w:val="18"/>
                  <w:szCs w:val="18"/>
                  <w:color w:val="0000EE"/>
                </w:rPr>
                <w:t>2.</w:t>
              </w:r>
            </w:hyperlink>
          </w:p>
        </w:tc>
        <w:tc>
          <w:tcPr>
            <w:tcW w:w="9400" w:type="dxa"/>
            <w:vAlign w:val="bottom"/>
            <w:gridSpan w:val="27"/>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Cash and Cash Equivalents and Short-Term Investments</w:t>
              </w:r>
            </w:hyperlink>
          </w:p>
        </w:tc>
        <w:tc>
          <w:tcPr>
            <w:tcW w:w="4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3">
              <w:r>
                <w:rPr>
                  <w:rFonts w:ascii="Arial" w:cs="Arial" w:eastAsia="Arial" w:hAnsi="Arial"/>
                  <w:sz w:val="18"/>
                  <w:szCs w:val="18"/>
                  <w:color w:val="0000EE"/>
                </w:rPr>
                <w:t>3.</w:t>
              </w:r>
            </w:hyperlink>
          </w:p>
        </w:tc>
        <w:tc>
          <w:tcPr>
            <w:tcW w:w="9400" w:type="dxa"/>
            <w:vAlign w:val="bottom"/>
            <w:gridSpan w:val="27"/>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Fair Value Measurements</w:t>
              </w:r>
            </w:hyperlink>
          </w:p>
        </w:tc>
        <w:tc>
          <w:tcPr>
            <w:tcW w:w="4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4">
              <w:r>
                <w:rPr>
                  <w:rFonts w:ascii="Arial" w:cs="Arial" w:eastAsia="Arial" w:hAnsi="Arial"/>
                  <w:sz w:val="18"/>
                  <w:szCs w:val="18"/>
                  <w:color w:val="0000EE"/>
                </w:rPr>
                <w:t>4.</w:t>
              </w:r>
            </w:hyperlink>
          </w:p>
        </w:tc>
        <w:tc>
          <w:tcPr>
            <w:tcW w:w="9400" w:type="dxa"/>
            <w:vAlign w:val="bottom"/>
            <w:gridSpan w:val="27"/>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Property and Equipment, Net</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4">
              <w:r>
                <w:rPr>
                  <w:rFonts w:ascii="Arial" w:cs="Arial" w:eastAsia="Arial" w:hAnsi="Arial"/>
                  <w:sz w:val="18"/>
                  <w:szCs w:val="18"/>
                  <w:color w:val="0000EE"/>
                </w:rPr>
                <w:t>5.</w:t>
              </w:r>
            </w:hyperlink>
          </w:p>
        </w:tc>
        <w:tc>
          <w:tcPr>
            <w:tcW w:w="9400" w:type="dxa"/>
            <w:vAlign w:val="bottom"/>
            <w:gridSpan w:val="27"/>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Leases</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5">
              <w:r>
                <w:rPr>
                  <w:rFonts w:ascii="Arial" w:cs="Arial" w:eastAsia="Arial" w:hAnsi="Arial"/>
                  <w:sz w:val="18"/>
                  <w:szCs w:val="18"/>
                  <w:color w:val="0000EE"/>
                </w:rPr>
                <w:t>6.</w:t>
              </w:r>
            </w:hyperlink>
          </w:p>
        </w:tc>
        <w:tc>
          <w:tcPr>
            <w:tcW w:w="9400" w:type="dxa"/>
            <w:vAlign w:val="bottom"/>
            <w:gridSpan w:val="2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Debt</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6">
              <w:r>
                <w:rPr>
                  <w:rFonts w:ascii="Arial" w:cs="Arial" w:eastAsia="Arial" w:hAnsi="Arial"/>
                  <w:sz w:val="18"/>
                  <w:szCs w:val="18"/>
                  <w:color w:val="0000EE"/>
                </w:rPr>
                <w:t>7.</w:t>
              </w:r>
            </w:hyperlink>
          </w:p>
        </w:tc>
        <w:tc>
          <w:tcPr>
            <w:tcW w:w="9400" w:type="dxa"/>
            <w:vAlign w:val="bottom"/>
            <w:gridSpan w:val="2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Redeemable Convertible Preferred Stock and Common Stock</w:t>
              </w:r>
            </w:hyperlink>
          </w:p>
        </w:tc>
        <w:tc>
          <w:tcPr>
            <w:tcW w:w="4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6">
              <w:r>
                <w:rPr>
                  <w:rFonts w:ascii="Arial" w:cs="Arial" w:eastAsia="Arial" w:hAnsi="Arial"/>
                  <w:sz w:val="18"/>
                  <w:szCs w:val="18"/>
                  <w:color w:val="0000EE"/>
                </w:rPr>
                <w:t>8.</w:t>
              </w:r>
            </w:hyperlink>
          </w:p>
        </w:tc>
        <w:tc>
          <w:tcPr>
            <w:tcW w:w="9400" w:type="dxa"/>
            <w:vAlign w:val="bottom"/>
            <w:gridSpan w:val="2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Stock-Based Compensation</w:t>
              </w:r>
            </w:hyperlink>
          </w:p>
        </w:tc>
        <w:tc>
          <w:tcPr>
            <w:tcW w:w="4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8">
              <w:r>
                <w:rPr>
                  <w:rFonts w:ascii="Arial" w:cs="Arial" w:eastAsia="Arial" w:hAnsi="Arial"/>
                  <w:sz w:val="18"/>
                  <w:szCs w:val="18"/>
                  <w:color w:val="0000EE"/>
                </w:rPr>
                <w:t>9.</w:t>
              </w:r>
            </w:hyperlink>
          </w:p>
        </w:tc>
        <w:tc>
          <w:tcPr>
            <w:tcW w:w="9400" w:type="dxa"/>
            <w:vAlign w:val="bottom"/>
            <w:gridSpan w:val="27"/>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Net Loss Per Share Attributable to Common Stockholders</w:t>
              </w:r>
            </w:hyperlink>
          </w:p>
        </w:tc>
        <w:tc>
          <w:tcPr>
            <w:tcW w:w="4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Borders>
              <w:top w:val="single" w:sz="8" w:color="0000EE"/>
              <w:bottom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10. Geographic Information</w:t>
              </w:r>
            </w:hyperlink>
          </w:p>
        </w:tc>
        <w:tc>
          <w:tcPr>
            <w:tcW w:w="2560" w:type="dxa"/>
            <w:vAlign w:val="bottom"/>
            <w:tcBorders>
              <w:top w:val="single" w:sz="8" w:color="0000EE"/>
            </w:tcBorders>
            <w:gridSpan w:val="12"/>
          </w:tcPr>
          <w:p>
            <w:pPr>
              <w:spacing w:after="0"/>
              <w:rPr>
                <w:sz w:val="21"/>
                <w:szCs w:val="21"/>
                <w:color w:val="auto"/>
              </w:rPr>
            </w:pPr>
          </w:p>
        </w:tc>
        <w:tc>
          <w:tcPr>
            <w:tcW w:w="4780" w:type="dxa"/>
            <w:vAlign w:val="bottom"/>
            <w:gridSpan w:val="6"/>
          </w:tcPr>
          <w:p>
            <w:pPr>
              <w:spacing w:after="0"/>
              <w:rPr>
                <w:sz w:val="21"/>
                <w:szCs w:val="21"/>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20" w:type="dxa"/>
            <w:vAlign w:val="bottom"/>
          </w:tcPr>
          <w:p>
            <w:pPr>
              <w:spacing w:after="0"/>
              <w:rPr>
                <w:sz w:val="21"/>
                <w:szCs w:val="21"/>
                <w:color w:val="auto"/>
              </w:rPr>
            </w:pPr>
          </w:p>
        </w:tc>
      </w:tr>
      <w:tr>
        <w:trPr>
          <w:trHeight w:val="561"/>
        </w:trPr>
        <w:tc>
          <w:tcPr>
            <w:tcW w:w="9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9820" w:type="dxa"/>
            <w:vAlign w:val="bottom"/>
            <w:gridSpan w:val="2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820" w:type="dxa"/>
            <w:vAlign w:val="bottom"/>
            <w:gridSpan w:val="2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4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820" w:type="dxa"/>
            <w:vAlign w:val="bottom"/>
            <w:gridSpan w:val="2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37"/>
        </w:trPr>
        <w:tc>
          <w:tcPr>
            <w:tcW w:w="5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gridSpan w:val="1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344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760" w:type="dxa"/>
            <w:vAlign w:val="bottom"/>
            <w:tcBorders>
              <w:top w:val="single" w:sz="8" w:color="0000EE"/>
            </w:tcBorders>
            <w:gridSpan w:val="8"/>
          </w:tcPr>
          <w:p>
            <w:pPr>
              <w:spacing w:after="0"/>
              <w:rPr>
                <w:sz w:val="20"/>
                <w:szCs w:val="20"/>
                <w:color w:val="auto"/>
              </w:rPr>
            </w:pPr>
          </w:p>
        </w:tc>
        <w:tc>
          <w:tcPr>
            <w:tcW w:w="3620" w:type="dxa"/>
            <w:vAlign w:val="bottom"/>
            <w:gridSpan w:val="4"/>
          </w:tcPr>
          <w:p>
            <w:pPr>
              <w:spacing w:after="0"/>
              <w:rPr>
                <w:sz w:val="20"/>
                <w:szCs w:val="20"/>
                <w:color w:val="auto"/>
              </w:rPr>
            </w:pPr>
          </w:p>
        </w:tc>
        <w:tc>
          <w:tcPr>
            <w:tcW w:w="4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982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4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40" w:type="dxa"/>
            <w:vAlign w:val="bottom"/>
            <w:gridSpan w:val="15"/>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9820" w:type="dxa"/>
            <w:vAlign w:val="bottom"/>
            <w:gridSpan w:val="2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42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980" w:type="dxa"/>
            <w:vAlign w:val="bottom"/>
            <w:gridSpan w:val="16"/>
            <w:shd w:val="clear" w:color="auto" w:fill="0000EE"/>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9820" w:type="dxa"/>
            <w:vAlign w:val="bottom"/>
            <w:gridSpan w:val="2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42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960" w:type="dxa"/>
            <w:vAlign w:val="bottom"/>
            <w:gridSpan w:val="2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Signatures</w:t>
              </w:r>
            </w:hyperlink>
          </w:p>
        </w:tc>
        <w:tc>
          <w:tcPr>
            <w:tcW w:w="8960" w:type="dxa"/>
            <w:vAlign w:val="bottom"/>
            <w:gridSpan w:val="24"/>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64</w:t>
              </w:r>
            </w:hyperlink>
          </w:p>
        </w:tc>
        <w:tc>
          <w:tcPr>
            <w:tcW w:w="220" w:type="dxa"/>
            <w:vAlign w:val="bottom"/>
          </w:tcPr>
          <w:p>
            <w:pPr>
              <w:spacing w:after="0"/>
              <w:rPr>
                <w:sz w:val="20"/>
                <w:szCs w:val="20"/>
                <w:color w:val="auto"/>
              </w:rPr>
            </w:pPr>
          </w:p>
        </w:tc>
      </w:tr>
      <w:tr>
        <w:trPr>
          <w:trHeight w:val="70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gridSpan w:val="19"/>
          </w:tcPr>
          <w:p>
            <w:pPr>
              <w:jc w:val="center"/>
              <w:ind w:left="415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60"/>
          </w:cols>
          <w:pgMar w:left="280" w:top="360"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0"/>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9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90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TENABLE HOLDINGS, INC.</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3"/>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60"/>
        </w:trPr>
        <w:tc>
          <w:tcPr>
            <w:tcW w:w="856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8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185,663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165,116</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111,301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118,119</w:t>
            </w:r>
          </w:p>
        </w:tc>
      </w:tr>
      <w:tr>
        <w:trPr>
          <w:trHeight w:val="235"/>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$125 and $188 at June 30, 2019 and</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60" w:type="dxa"/>
            <w:vAlign w:val="bottom"/>
            <w:shd w:val="clear" w:color="auto" w:fill="CCEEFF"/>
          </w:tcPr>
          <w:p>
            <w:pPr>
              <w:spacing w:after="0"/>
              <w:rPr>
                <w:sz w:val="20"/>
                <w:szCs w:val="20"/>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 respectively)</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68,983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68,261</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24,867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23,272</w:t>
            </w:r>
          </w:p>
        </w:tc>
      </w:tr>
      <w:tr>
        <w:trPr>
          <w:trHeight w:val="270"/>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w:t>
            </w:r>
          </w:p>
        </w:tc>
      </w:tr>
      <w:tr>
        <w:trPr>
          <w:trHeight w:val="250"/>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411,130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396,788</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11,348</w:t>
            </w: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36,162</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8,504</w:t>
            </w:r>
          </w:p>
        </w:tc>
      </w:tr>
      <w:tr>
        <w:trPr>
          <w:trHeight w:val="264"/>
        </w:trPr>
        <w:tc>
          <w:tcPr>
            <w:tcW w:w="85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7,810</w:t>
            </w:r>
          </w:p>
        </w:tc>
      </w:tr>
      <w:tr>
        <w:trPr>
          <w:trHeight w:val="257"/>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480,769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r>
      <w:tr>
        <w:trPr>
          <w:trHeight w:val="20"/>
        </w:trPr>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5,554</w:t>
            </w: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26,502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29,594</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227,227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213,644</w:t>
            </w: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w:t>
            </w:r>
          </w:p>
        </w:tc>
      </w:tr>
      <w:tr>
        <w:trPr>
          <w:trHeight w:val="264"/>
        </w:trPr>
        <w:tc>
          <w:tcPr>
            <w:tcW w:w="856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1,079</w:t>
            </w:r>
          </w:p>
        </w:tc>
      </w:tr>
      <w:tr>
        <w:trPr>
          <w:trHeight w:val="25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270,205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254,304</w:t>
            </w: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80,106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76,259</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6,055</w:t>
            </w:r>
          </w:p>
        </w:tc>
      </w:tr>
      <w:tr>
        <w:trPr>
          <w:trHeight w:val="264"/>
        </w:trPr>
        <w:tc>
          <w:tcPr>
            <w:tcW w:w="85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2,231</w:t>
            </w:r>
          </w:p>
        </w:tc>
      </w:tr>
      <w:tr>
        <w:trPr>
          <w:trHeight w:val="25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359,810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338,849</w:t>
            </w:r>
          </w:p>
        </w:tc>
      </w:tr>
      <w:tr>
        <w:trPr>
          <w:trHeight w:val="284"/>
        </w:trPr>
        <w:tc>
          <w:tcPr>
            <w:tcW w:w="26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Common stock (par value: $0.01; 500,000 shares authorized; 96,808 and 93,126 shares issued and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outstanding at June 30, 2019 and December 31, 2018, respectively)</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931</w:t>
            </w: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629,087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586,940</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(509,176)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(466,108)</w:t>
            </w:r>
          </w:p>
        </w:tc>
      </w:tr>
      <w:tr>
        <w:trPr>
          <w:trHeight w:val="250"/>
        </w:trPr>
        <w:tc>
          <w:tcPr>
            <w:tcW w:w="85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120,959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121,763</w:t>
            </w:r>
          </w:p>
        </w:tc>
      </w:tr>
      <w:tr>
        <w:trPr>
          <w:trHeight w:val="257"/>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480,769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165,685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122,699</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18,607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138,541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104,092</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108,704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81,414</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21,698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43,633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34,976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19,596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93,700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70,158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183,460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135,986</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(32,363)</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(33,038)</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305"/>
        </w:trPr>
        <w:tc>
          <w:tcPr>
            <w:tcW w:w="5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Weighted-average shares used to compute net loss per share</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95,820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23,750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94,785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gains on available-for-sale securities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(33,038)</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 w:name="page6"/>
    <w:bookmarkEnd w:id="5"/>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REDEEMABLE CONVERTIBLE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160655</wp:posOffset>
            </wp:positionV>
            <wp:extent cx="7246620" cy="6226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6226175"/>
                    </a:xfrm>
                    <a:prstGeom prst="rect">
                      <a:avLst/>
                    </a:prstGeom>
                    <a:noFill/>
                  </pic:spPr>
                </pic:pic>
              </a:graphicData>
            </a:graphic>
          </wp:anchor>
        </w:drawing>
      </w:r>
    </w:p>
    <w:p>
      <w:pPr>
        <w:sectPr>
          <w:pgSz w:w="11900" w:h="16838" w:orient="portrait"/>
          <w:cols w:equalWidth="0" w:num="1">
            <w:col w:w="11380"/>
          </w:cols>
          <w:pgMar w:left="280" w:top="140" w:right="239" w:bottom="1440" w:gutter="0" w:footer="0" w:header="0"/>
        </w:sect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Pr>
          <w:p>
            <w:pPr>
              <w:spacing w:after="0"/>
              <w:rPr>
                <w:sz w:val="12"/>
                <w:szCs w:val="12"/>
                <w:color w:val="auto"/>
              </w:rPr>
            </w:pPr>
          </w:p>
        </w:tc>
        <w:tc>
          <w:tcPr>
            <w:tcW w:w="3300" w:type="dxa"/>
            <w:vAlign w:val="bottom"/>
            <w:gridSpan w:val="9"/>
          </w:tcPr>
          <w:p>
            <w:pPr>
              <w:jc w:val="right"/>
              <w:ind w:right="526"/>
              <w:spacing w:after="0"/>
              <w:rPr>
                <w:sz w:val="20"/>
                <w:szCs w:val="20"/>
                <w:color w:val="auto"/>
              </w:rPr>
            </w:pPr>
            <w:r>
              <w:rPr>
                <w:rFonts w:ascii="Arial" w:cs="Arial" w:eastAsia="Arial" w:hAnsi="Arial"/>
                <w:sz w:val="11"/>
                <w:szCs w:val="11"/>
                <w:b w:val="1"/>
                <w:bCs w:val="1"/>
                <w:color w:val="auto"/>
              </w:rPr>
              <w:t>Redeemable Convertible Preferred Stock</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1660" w:type="dxa"/>
            <w:vAlign w:val="bottom"/>
            <w:gridSpan w:val="5"/>
          </w:tcPr>
          <w:p>
            <w:pPr>
              <w:ind w:left="560"/>
              <w:spacing w:after="0"/>
              <w:rPr>
                <w:sz w:val="20"/>
                <w:szCs w:val="20"/>
                <w:color w:val="auto"/>
              </w:rPr>
            </w:pPr>
            <w:r>
              <w:rPr>
                <w:rFonts w:ascii="Arial" w:cs="Arial" w:eastAsia="Arial" w:hAnsi="Arial"/>
                <w:sz w:val="11"/>
                <w:szCs w:val="11"/>
                <w:b w:val="1"/>
                <w:bCs w:val="1"/>
                <w:color w:val="auto"/>
              </w:rPr>
              <w:t>Series A</w:t>
            </w:r>
          </w:p>
        </w:tc>
        <w:tc>
          <w:tcPr>
            <w:tcW w:w="1640" w:type="dxa"/>
            <w:vAlign w:val="bottom"/>
            <w:gridSpan w:val="4"/>
          </w:tcPr>
          <w:p>
            <w:pPr>
              <w:jc w:val="right"/>
              <w:ind w:right="546"/>
              <w:spacing w:after="0"/>
              <w:rPr>
                <w:sz w:val="20"/>
                <w:szCs w:val="20"/>
                <w:color w:val="auto"/>
              </w:rPr>
            </w:pPr>
            <w:r>
              <w:rPr>
                <w:rFonts w:ascii="Arial" w:cs="Arial" w:eastAsia="Arial" w:hAnsi="Arial"/>
                <w:sz w:val="11"/>
                <w:szCs w:val="11"/>
                <w:b w:val="1"/>
                <w:bCs w:val="1"/>
                <w:color w:val="auto"/>
              </w:rPr>
              <w:t>Series B</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0"/>
                <w:szCs w:val="20"/>
                <w:color w:val="auto"/>
              </w:rPr>
            </w:pPr>
            <w:r>
              <w:rPr>
                <w:rFonts w:ascii="Arial" w:cs="Arial" w:eastAsia="Arial" w:hAnsi="Arial"/>
                <w:sz w:val="11"/>
                <w:szCs w:val="11"/>
                <w:b w:val="1"/>
                <w:bCs w:val="1"/>
                <w:color w:val="auto"/>
              </w:rPr>
              <w:t>(in thousands)</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22"/>
                <w:szCs w:val="2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22"/>
                <w:szCs w:val="22"/>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2"/>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2019</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2018</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80" w:type="dxa"/>
            <w:vAlign w:val="bottom"/>
            <w:vMerge w:val="continue"/>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Issuance of common stock under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2018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8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49,940</w:t>
            </w:r>
          </w:p>
        </w:tc>
        <w:tc>
          <w:tcPr>
            <w:tcW w:w="14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227,983</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Accretion of Series A and B</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80"/>
              <w:spacing w:after="0" w:line="122" w:lineRule="exact"/>
              <w:rPr>
                <w:sz w:val="20"/>
                <w:szCs w:val="20"/>
                <w:color w:val="auto"/>
              </w:rPr>
            </w:pPr>
            <w:r>
              <w:rPr>
                <w:rFonts w:ascii="Arial" w:cs="Arial" w:eastAsia="Arial" w:hAnsi="Arial"/>
                <w:sz w:val="11"/>
                <w:szCs w:val="11"/>
                <w:color w:val="auto"/>
              </w:rPr>
              <w:t>redeemable convertible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ind w:left="80"/>
              <w:spacing w:after="0"/>
              <w:rPr>
                <w:sz w:val="20"/>
                <w:szCs w:val="20"/>
                <w:color w:val="auto"/>
              </w:rPr>
            </w:pPr>
            <w:r>
              <w:rPr>
                <w:rFonts w:ascii="Arial" w:cs="Arial" w:eastAsia="Arial" w:hAnsi="Arial"/>
                <w:sz w:val="11"/>
                <w:szCs w:val="11"/>
                <w:color w:val="auto"/>
              </w:rPr>
              <w:t>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185</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June 30, 2018</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49,946</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228,168</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2017</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8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49,935</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227,800</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Accretion of Series A and B</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80"/>
              <w:spacing w:after="0" w:line="122" w:lineRule="exact"/>
              <w:rPr>
                <w:sz w:val="20"/>
                <w:szCs w:val="20"/>
                <w:color w:val="auto"/>
              </w:rPr>
            </w:pPr>
            <w:r>
              <w:rPr>
                <w:rFonts w:ascii="Arial" w:cs="Arial" w:eastAsia="Arial" w:hAnsi="Arial"/>
                <w:sz w:val="11"/>
                <w:szCs w:val="11"/>
                <w:color w:val="auto"/>
              </w:rPr>
              <w:t>redeemable convertible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ind w:left="80"/>
              <w:spacing w:after="0"/>
              <w:rPr>
                <w:sz w:val="20"/>
                <w:szCs w:val="20"/>
                <w:color w:val="auto"/>
              </w:rPr>
            </w:pPr>
            <w:r>
              <w:rPr>
                <w:rFonts w:ascii="Arial" w:cs="Arial" w:eastAsia="Arial" w:hAnsi="Arial"/>
                <w:sz w:val="11"/>
                <w:szCs w:val="11"/>
                <w:color w:val="auto"/>
              </w:rPr>
              <w:t>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368</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June 30, 2018</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49,946</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228,168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5"/>
            <w:vMerge w:val="restart"/>
          </w:tcPr>
          <w:p>
            <w:pPr>
              <w:ind w:left="4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6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220"/>
              <w:spacing w:after="0" w:line="90"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7"/>
                <w:szCs w:val="7"/>
                <w:color w:val="auto"/>
              </w:rPr>
            </w:pPr>
          </w:p>
        </w:tc>
        <w:tc>
          <w:tcPr>
            <w:tcW w:w="1100" w:type="dxa"/>
            <w:vAlign w:val="bottom"/>
            <w:gridSpan w:val="2"/>
            <w:vMerge w:val="restart"/>
          </w:tcPr>
          <w:p>
            <w:pPr>
              <w:jc w:val="center"/>
              <w:ind w:right="240"/>
              <w:spacing w:after="0" w:line="90"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restart"/>
          </w:tcPr>
          <w:p>
            <w:pPr>
              <w:jc w:val="center"/>
              <w:ind w:right="86"/>
              <w:spacing w:after="0" w:line="9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9"/>
                <w:szCs w:val="9"/>
                <w:color w:val="auto"/>
              </w:rPr>
            </w:pPr>
          </w:p>
        </w:tc>
        <w:tc>
          <w:tcPr>
            <w:tcW w:w="110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9"/>
                <w:szCs w:val="9"/>
                <w:color w:val="auto"/>
              </w:rPr>
            </w:pPr>
          </w:p>
        </w:tc>
        <w:tc>
          <w:tcPr>
            <w:tcW w:w="980" w:type="dxa"/>
            <w:vAlign w:val="bottom"/>
          </w:tcPr>
          <w:p>
            <w:pPr>
              <w:jc w:val="center"/>
              <w:ind w:right="86"/>
              <w:spacing w:after="0" w:line="114"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2"/>
                <w:szCs w:val="12"/>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jc w:val="right"/>
              <w:spacing w:after="0"/>
              <w:rPr>
                <w:sz w:val="20"/>
                <w:szCs w:val="20"/>
                <w:color w:val="auto"/>
              </w:rPr>
            </w:pPr>
            <w:r>
              <w:rPr>
                <w:rFonts w:ascii="Arial" w:cs="Arial" w:eastAsia="Arial" w:hAnsi="Arial"/>
                <w:sz w:val="11"/>
                <w:szCs w:val="11"/>
                <w:color w:val="auto"/>
              </w:rPr>
              <w:t>96,203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614,774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(487,548)</w:t>
            </w:r>
          </w:p>
        </w:tc>
        <w:tc>
          <w:tcPr>
            <w:tcW w:w="10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128,209</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604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2,843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2,849</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11,470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11,470</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(21,628)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(21,628)</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96,808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629,087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(509,176)</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120,959</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0" w:type="dxa"/>
            <w:vAlign w:val="bottom"/>
          </w:tcPr>
          <w:p>
            <w:pPr>
              <w:jc w:val="right"/>
              <w:spacing w:after="0"/>
              <w:rPr>
                <w:sz w:val="20"/>
                <w:szCs w:val="20"/>
                <w:color w:val="auto"/>
              </w:rPr>
            </w:pPr>
            <w:r>
              <w:rPr>
                <w:rFonts w:ascii="Arial" w:cs="Arial" w:eastAsia="Arial" w:hAnsi="Arial"/>
                <w:sz w:val="11"/>
                <w:szCs w:val="11"/>
                <w:color w:val="auto"/>
              </w:rPr>
              <w:t>93,126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586,940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(466,108)</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121,763</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3,242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12,695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12,727</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7"/>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439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8,574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8,579</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20,878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20,878</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(43,068)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(43,068)</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96,808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629,087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(509,176)</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120,959</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0" w:type="dxa"/>
            <w:vAlign w:val="bottom"/>
          </w:tcPr>
          <w:p>
            <w:pPr>
              <w:jc w:val="right"/>
              <w:spacing w:after="0"/>
              <w:rPr>
                <w:sz w:val="20"/>
                <w:szCs w:val="20"/>
                <w:color w:val="auto"/>
              </w:rPr>
            </w:pPr>
            <w:r>
              <w:rPr>
                <w:rFonts w:ascii="Arial" w:cs="Arial" w:eastAsia="Arial" w:hAnsi="Arial"/>
                <w:sz w:val="11"/>
                <w:szCs w:val="11"/>
                <w:color w:val="auto"/>
              </w:rPr>
              <w:t>24,794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23,363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(408,475)</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(384,863)</w:t>
            </w:r>
          </w:p>
        </w:tc>
        <w:tc>
          <w:tcPr>
            <w:tcW w:w="0" w:type="dxa"/>
            <w:vAlign w:val="bottom"/>
          </w:tcPr>
          <w:p>
            <w:pPr>
              <w:spacing w:after="0"/>
              <w:rPr>
                <w:sz w:val="1"/>
                <w:szCs w:val="1"/>
                <w:color w:val="auto"/>
              </w:rPr>
            </w:pPr>
          </w:p>
        </w:tc>
      </w:tr>
      <w:tr>
        <w:trPr>
          <w:trHeight w:val="419"/>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270"/>
        </w:trPr>
        <w:tc>
          <w:tcPr>
            <w:tcW w:w="80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3,024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3,024</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(17,150)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(17,150)</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24,951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26,651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(425,625)</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(398,724)</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0" w:type="dxa"/>
            <w:vAlign w:val="bottom"/>
          </w:tcPr>
          <w:p>
            <w:pPr>
              <w:jc w:val="right"/>
              <w:spacing w:after="0"/>
              <w:rPr>
                <w:sz w:val="20"/>
                <w:szCs w:val="20"/>
                <w:color w:val="auto"/>
              </w:rPr>
            </w:pPr>
            <w:r>
              <w:rPr>
                <w:rFonts w:ascii="Arial" w:cs="Arial" w:eastAsia="Arial" w:hAnsi="Arial"/>
                <w:sz w:val="11"/>
                <w:szCs w:val="11"/>
                <w:color w:val="auto"/>
              </w:rPr>
              <w:t>24,472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20,676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(392,587)</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(371,665)</w:t>
            </w:r>
          </w:p>
        </w:tc>
        <w:tc>
          <w:tcPr>
            <w:tcW w:w="0" w:type="dxa"/>
            <w:vAlign w:val="bottom"/>
          </w:tcPr>
          <w:p>
            <w:pPr>
              <w:spacing w:after="0"/>
              <w:rPr>
                <w:sz w:val="1"/>
                <w:szCs w:val="1"/>
                <w:color w:val="auto"/>
              </w:rPr>
            </w:pPr>
          </w:p>
        </w:tc>
      </w:tr>
      <w:tr>
        <w:trPr>
          <w:trHeight w:val="419"/>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(379)</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1,010</w:t>
            </w:r>
          </w:p>
        </w:tc>
        <w:tc>
          <w:tcPr>
            <w:tcW w:w="0" w:type="dxa"/>
            <w:vAlign w:val="bottom"/>
          </w:tcPr>
          <w:p>
            <w:pPr>
              <w:spacing w:after="0"/>
              <w:rPr>
                <w:sz w:val="1"/>
                <w:szCs w:val="1"/>
                <w:color w:val="auto"/>
              </w:rPr>
            </w:pPr>
          </w:p>
        </w:tc>
      </w:tr>
      <w:tr>
        <w:trPr>
          <w:trHeight w:val="270"/>
        </w:trPr>
        <w:tc>
          <w:tcPr>
            <w:tcW w:w="80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5,423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5,423</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(33,038)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(33,038)</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24,951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26,651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(425,625)</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(398,724)</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2">
            <w:col w:w="4980" w:space="260"/>
            <w:col w:w="6140"/>
          </w:cols>
          <w:pgMar w:left="280" w:top="140" w:right="239" w:bottom="1440" w:gutter="0" w:footer="0" w:header="0"/>
          <w:type w:val="continuous"/>
        </w:sect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140" w:right="239" w:bottom="1440" w:gutter="0" w:footer="0" w:header="0"/>
          <w:type w:val="continuous"/>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(43,068)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(33,038)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2,326</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17,430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21,319</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110,750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43"/>
        </w:trPr>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of deferred offering costs</w:t>
            </w: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8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21,298</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165,378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23,917</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 related to leases: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payments for operating leases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Operating cash payments for finance leases</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payments for finance leases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type w:val="continuous"/>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and measuring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All intercompany accounts and transactions have been eliminated in consolidation.</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2018 Annual Report on Form 10-K ("10-K") filed with the Securities and Exchange Commission on March 1, 2019.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9"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The results for the six months ended June 30, 2019 are not necessarily indicative of the operating results expected for the year ending December 31, 2019 or any other future period.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On July 30, 2018, we completed our initial public offering ("IPO"), in which we issued and sold 12,535,000 shares of common stock at a price to the public of $23.00 per share, including 1,635,000 shares of common stock purchased by our underwriters from the full exercise of their over-allotment option. All of the shares sold in the IPO were sold by the Company. We received net proceeds of $264.6 million after deducting underwriting discounts and commissions and other offering expenses.</w:t>
      </w:r>
    </w:p>
    <w:p>
      <w:pPr>
        <w:spacing w:after="0" w:line="204" w:lineRule="exact"/>
        <w:rPr>
          <w:sz w:val="20"/>
          <w:szCs w:val="20"/>
          <w:color w:val="auto"/>
        </w:rPr>
      </w:pPr>
    </w:p>
    <w:p>
      <w:pPr>
        <w:ind w:right="80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of 55,385,854 shares of our common stock. Our Amended and Restated Certificate of Incorporation adopted in connection with the IPO authorizes a total of 500,000,000 shares of common stock and 10,000,000 shares of preferred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0" w:right="27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780" w:firstLine="324"/>
        <w:spacing w:after="0" w:line="291"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to which we expect to be entitled in exchange for those goods or services. To achieve this, we apply the following steps:</w:t>
      </w:r>
    </w:p>
    <w:p>
      <w:pPr>
        <w:spacing w:after="0" w:line="93"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9"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69,370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48,725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134,107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93,057</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24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13,553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27,080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26,889</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4,498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2,753</w:t>
            </w:r>
          </w:p>
        </w:tc>
      </w:tr>
      <w:tr>
        <w:trPr>
          <w:trHeight w:val="257"/>
        </w:trPr>
        <w:tc>
          <w:tcPr>
            <w:tcW w:w="54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85,384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63,592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165,685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122,699</w:t>
            </w: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for the use of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90% of revenue through our channel network in the three and six months ended June 30, 2019 and 87% of revenue in the three and six months ended June 30, 2018. One of our distributors accounted for 43% of revenue in the three and six months ended June 30, 2019 and 46% of revenue in the three and six months ended June 30, 2018. That same distributor accounted for 42% and 46% of accounts receivable at June 30, 2019 and December 31, 2018, respectively.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June 30, 2019 and 2018 and the six months ended June 30, 2019 and 2018, we recognized revenue of $ 78.3 million, $51.7 million, $136.7 million and $99.2 million, respectively, that was included in the deferred revenue balance at the beginning of each of the respective periods.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At June 30, 2019, the future estimated revenue related to unsatisfied performance obligations was $313.0 million, with 74% expected to be recognized as revenue over the succeeding twelve months, and the remainder expected to be recognized over the four years thereafter.</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jc w:val="both"/>
        <w:ind w:right="380" w:firstLine="324"/>
        <w:spacing w:after="0" w:line="254"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 other comprehensive income within stockholders’ equity (deficit). We periodically review our investment portfolio to determine whether investments have indicators of possible impairment.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0" w:right="25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 in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59,434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50,176</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8,608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9,847</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61,866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50,805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61,866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50,805</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deferred contract acquisition costs is included in sales and marketing expense in the consolidated statements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ind w:right="480" w:firstLine="324"/>
        <w:spacing w:after="0" w:line="266" w:lineRule="auto"/>
        <w:rPr>
          <w:sz w:val="20"/>
          <w:szCs w:val="20"/>
          <w:color w:val="auto"/>
        </w:rPr>
      </w:pPr>
      <w:r>
        <w:rPr>
          <w:rFonts w:ascii="Arial" w:cs="Arial" w:eastAsia="Arial" w:hAnsi="Arial"/>
          <w:sz w:val="18"/>
          <w:szCs w:val="18"/>
          <w:color w:val="auto"/>
        </w:rPr>
        <w:t xml:space="preserve">We early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January 1, 2018 using the modified retrospective method. We elected the package of practical expedients as permitted under the transition guidance, which allowed us to not reassess whether arrangements contain leases, not reassess lease classification, and not reassess initial direct costs.</w:t>
      </w:r>
    </w:p>
    <w:p>
      <w:pPr>
        <w:spacing w:after="0" w:line="19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impact of the adoption of ASC 842 on previously reported interim financial statements included the recognition of right-of-use ("ROU") assets and lease liabilities, as well as the derecognition of the construction-in-progress and construction financing obligation. There was no material impact to previously reported results of operations for any interim period.</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20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This ASU amends guidance on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for assets held at amortized cost basis and available-for-sale debt 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statements of operations. This guidance is effective for us beginning January 1, 2020, and will be adopted using the modified-retrospective method. We are currently evaluating the potential impact of this standard on our consolidated financial statements.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August 2018, the FASB issued ASU No. 2018-15 —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 -Use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Under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related to a cloud computing arrangement that is a service contract will be capitalized consistent with the requirements for capitalizing internal-use software development costs. The capitalized implementation costs are subsequently expensed over the term of the hosting arrangement. This guidance is effective for us beginning January 1, 2020, and can be adopted prospectively or retrospectively. We are currently evaluating adoption methods and the impact of this standard.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and Cash Equivalents and Short-Term Investments</w:t>
      </w:r>
    </w:p>
    <w:p>
      <w:pPr>
        <w:spacing w:after="0" w:line="247"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At June 30, 2019 and December 31, 2018, cash and cash equivalents excluded $0.3 million of restricted cash, which is related to an account established as collateral for a lease arrangement and was included in other assets on the consolidated balance sheets.</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6"/>
                <w:szCs w:val="16"/>
                <w:b w:val="1"/>
                <w:bCs w:val="1"/>
                <w:color w:val="auto"/>
              </w:rPr>
              <w:t>June 30, 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37,659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9,094</w:t>
            </w: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cash equivalents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46,753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46,220</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20,256</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agency obligations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44,825</w:t>
            </w: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short-term investments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December 31, 2018</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38,022</w:t>
            </w:r>
          </w:p>
        </w:tc>
      </w:tr>
      <w:tr>
        <w:trPr>
          <w:trHeight w:val="297"/>
        </w:trPr>
        <w:tc>
          <w:tcPr>
            <w:tcW w:w="5260" w:type="dxa"/>
            <w:vAlign w:val="bottom"/>
          </w:tcPr>
          <w:p>
            <w:pPr>
              <w:ind w:left="280"/>
              <w:spacing w:after="0"/>
              <w:rPr>
                <w:sz w:val="20"/>
                <w:szCs w:val="20"/>
                <w:color w:val="auto"/>
              </w:rPr>
            </w:pPr>
            <w:r>
              <w:rPr>
                <w:rFonts w:ascii="Arial" w:cs="Arial" w:eastAsia="Arial" w:hAnsi="Arial"/>
                <w:sz w:val="18"/>
                <w:szCs w:val="18"/>
                <w:color w:val="auto"/>
              </w:rPr>
              <w:t>Total cash equivalents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38,022</w:t>
            </w:r>
          </w:p>
        </w:tc>
      </w:tr>
      <w:tr>
        <w:trPr>
          <w:trHeight w:val="305"/>
        </w:trPr>
        <w:tc>
          <w:tcPr>
            <w:tcW w:w="52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79,634</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16,119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and agency obligations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22,366</w:t>
            </w: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short-term investments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118,119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118,119</w:t>
            </w:r>
          </w:p>
        </w:tc>
      </w:tr>
      <w:tr>
        <w:trPr>
          <w:trHeight w:val="20"/>
        </w:trPr>
        <w:tc>
          <w:tcPr>
            <w:tcW w:w="5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At June 30, 2019 and December 31, 2018, all of our short-term investments had maturities within the next twelve months, and none of our short-term investments were in an unrealized loss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640" w:hanging="328"/>
        <w:spacing w:after="0" w:line="28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6"/>
                <w:szCs w:val="16"/>
                <w:b w:val="1"/>
                <w:bCs w:val="1"/>
                <w:color w:val="auto"/>
              </w:rPr>
              <w:t>June 30, 2019</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37,659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37,659</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9,094</w:t>
            </w:r>
          </w:p>
        </w:tc>
      </w:tr>
      <w:tr>
        <w:trPr>
          <w:trHeight w:val="290"/>
        </w:trPr>
        <w:tc>
          <w:tcPr>
            <w:tcW w:w="516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37,659</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24"/>
                <w:szCs w:val="24"/>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46,753</w:t>
            </w:r>
          </w:p>
        </w:tc>
      </w:tr>
      <w:tr>
        <w:trPr>
          <w:trHeight w:val="311"/>
        </w:trPr>
        <w:tc>
          <w:tcPr>
            <w:tcW w:w="516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46,220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46,220</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20,256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20,256</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44,825</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44,825</w:t>
            </w:r>
          </w:p>
        </w:tc>
      </w:tr>
      <w:tr>
        <w:trPr>
          <w:trHeight w:val="250"/>
        </w:trPr>
        <w:tc>
          <w:tcPr>
            <w:tcW w:w="5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111,301</w:t>
            </w:r>
          </w:p>
        </w:tc>
        <w:tc>
          <w:tcPr>
            <w:tcW w:w="100" w:type="dxa"/>
            <w:vAlign w:val="bottom"/>
          </w:tcPr>
          <w:p>
            <w:pPr>
              <w:spacing w:after="0"/>
              <w:rPr>
                <w:sz w:val="21"/>
                <w:szCs w:val="21"/>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111,301</w:t>
            </w: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38,022</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79,634</w:t>
            </w:r>
          </w:p>
        </w:tc>
        <w:tc>
          <w:tcPr>
            <w:tcW w:w="100" w:type="dxa"/>
            <w:vAlign w:val="bottom"/>
          </w:tcPr>
          <w:p>
            <w:pPr>
              <w:spacing w:after="0"/>
              <w:rPr>
                <w:sz w:val="22"/>
                <w:szCs w:val="22"/>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79,634</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16,119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16,119</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22,366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22,366</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118,119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118,119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June 30, 2019 or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44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9"/>
                <w:szCs w:val="19"/>
                <w:color w:val="auto"/>
              </w:rPr>
            </w:pPr>
          </w:p>
        </w:tc>
        <w:tc>
          <w:tcPr>
            <w:tcW w:w="12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57"/>
        </w:trPr>
        <w:tc>
          <w:tcPr>
            <w:tcW w:w="8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17,433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13,038</w:t>
            </w:r>
          </w:p>
        </w:tc>
      </w:tr>
      <w:tr>
        <w:trPr>
          <w:trHeight w:val="263"/>
        </w:trPr>
        <w:tc>
          <w:tcPr>
            <w:tcW w:w="844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7"/>
        </w:trPr>
        <w:tc>
          <w:tcPr>
            <w:tcW w:w="8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7,266</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Right-of-use assets under finance leases</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1,854</w:t>
            </w:r>
          </w:p>
        </w:tc>
      </w:tr>
      <w:tr>
        <w:trPr>
          <w:trHeight w:val="257"/>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r>
      <w:tr>
        <w:trPr>
          <w:trHeight w:val="257"/>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11,348</w:t>
            </w: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Depreciation and amortization related to property and equipment was $ 1.3 million, $1.4 million, $2.8 million and $2.7 million in the three months ended June 30, 2019 and 2018 and the six months ended June 30, 2019 and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Our leases have remaining terms of less than one year to eight years, some of which include one or more options to renew, with renewal terms up to five years and some of which include options to terminate the leases within the next three to six years. The ROU assets and liabilities as of June 30, 2019 assume the option to early terminate one of our leases in 2021 and one of our leases in 2025.</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8"/>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Amortization of ROU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304</w:t>
            </w: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and six months ended June 30, 2019 and 2018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5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June 30, 2019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80"/>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color w:val="auto"/>
              </w:rPr>
              <w:t>3.4 years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3.1 years</w:t>
            </w: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discount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2,198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360" w:type="dxa"/>
            <w:vAlign w:val="bottom"/>
            <w:gridSpan w:val="5"/>
          </w:tcPr>
          <w:p>
            <w:pPr>
              <w:ind w:left="340"/>
              <w:spacing w:after="0"/>
              <w:rPr>
                <w:sz w:val="20"/>
                <w:szCs w:val="20"/>
                <w:color w:val="auto"/>
              </w:rPr>
            </w:pPr>
            <w:r>
              <w:rPr>
                <w:rFonts w:ascii="Arial" w:cs="Arial" w:eastAsia="Arial" w:hAnsi="Arial"/>
                <w:sz w:val="18"/>
                <w:szCs w:val="18"/>
                <w:color w:val="auto"/>
              </w:rPr>
              <w:t>Maturities of operating lease liabilities at June 30, 2019 were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40"/>
              <w:spacing w:after="0"/>
              <w:rPr>
                <w:sz w:val="20"/>
                <w:szCs w:val="20"/>
                <w:color w:val="auto"/>
              </w:rPr>
            </w:pPr>
            <w:r>
              <w:rPr>
                <w:rFonts w:ascii="Arial" w:cs="Arial" w:eastAsia="Arial" w:hAnsi="Arial"/>
                <w:sz w:val="18"/>
                <w:szCs w:val="18"/>
                <w:color w:val="auto"/>
              </w:rPr>
              <w:t>2019</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six months ending December 31, 2019.</w:t>
      </w:r>
    </w:p>
    <w:p>
      <w:pPr>
        <w:spacing w:after="0" w:line="21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of June 30, 2019, the operating lease for our future headquarters had not commenced and we did not have control of the space to be leased. We plan to take possession of the leased office space in the third quarter of 2019, at which time we will record a right-of-use asset and corresponding lease liability, and begin to record rent expense. Future lease payments related to this lease are $68.2 million and the lease payments are expected to commence in the first quarter of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 Credit Facility is intended to be used to fund working capital and to provide increased liquidity and financial flexibility and bears interest at either LIBOR plus 2%, or the lender's prime rate plus 1%. In addition, we pay quarterly in arrears 0.25% of the average unused portion. The Credit Facility is secured by a first priority security interest in all of our assets, with a negative pledge on our Intellectual Property, as defined in the credit agreement.</w:t>
      </w:r>
    </w:p>
    <w:p>
      <w:pPr>
        <w:spacing w:after="0" w:line="206"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Credit Facility contains certain restrictive covenants customary for facilities of this type including restrictions on indebtedness, liens, acquisitions and investments, restricted payments and dispositions. If, as of the last day of any quarter, the outstanding balance of the Credit Facility exceeds $5.0 million, there are financial covenants that require us to maintain a minimum level of earnings before income taxes, interest, depreciation and amortization (“EBITDA”) adjusted to add changes in deferred revenue in the period, and a minimum current ratio level. There were no borrowings under the Credit Facility during the six months ended June 30, 2019 or in 2018.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right="5980" w:hanging="332"/>
        <w:spacing w:after="0" w:line="513" w:lineRule="auto"/>
        <w:tabs>
          <w:tab w:leader="none" w:pos="2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Common Stock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20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pacing w:after="0" w:line="19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 shares of common stock and 10,000,000 shares of preferred stock. There were no shares of preferred stock issued or outstanding at June 30, 2019 or December 31, 2018.</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which became effective upon the execution of the underwriting agreement related to our IPO, and no further grants were made under our 2016 Stock Incentive Plan ("2016 Plan"). Any shares subject to stock options or other stock awards granted under our 2016 Plan, 2012 Stock Incentive Plan or 2002 Stock Incentive Plan that would have otherwise returned to such plan (such as upon the expiration or termination of a stock award prior to vesting) were added to, and are available for issuance under, our 2018 Plan. In addition, the number of shares of our common stock reserved for issuance under our 2018 Plan automatically increases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There were 14,790,867 shares available for grant under the 2018 Plan at June 30, 2019.</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Stock options granted under our stock incentive plans have a maximum term of ten years, generally vest over a period of three to four years, and the exercise price cannot be less than the fair market value on the date of grant. Restricted stock units ("RSUs") granted under our stock incentive plans generally vest over a period of two to four years.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1,277</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1,167</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2,788</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72"/>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932"/>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June 30, 2019, the total unrecognized stock-based compensation expense related to outstanding stock options was $35.7 million, which is expected to be recognized over an estimated remaining weighted average period of 2.6 years.</w:t>
      </w:r>
    </w:p>
    <w:p>
      <w:pPr>
        <w:spacing w:after="0" w:line="196"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At June 30, 2019, the unrecognized stock-based compensation expense related to unvested awards of restricted stock was $2.5 million, which is expected to be recognized over an estimated remaining period of 1.5 years.</w:t>
      </w:r>
    </w:p>
    <w:p>
      <w:pPr>
        <w:spacing w:after="0" w:line="196"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June 30, 2019, the unrecognized stock-based compensation expense related to unvested restricted stock units was $61.2 million, which is expected to be recognized over an estimated remaining weighted average period of 3.4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jc w:val="right"/>
              <w:ind w:right="35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90"/>
        </w:trPr>
        <w:tc>
          <w:tcPr>
            <w:tcW w:w="5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299,201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141,797</w:t>
            </w:r>
          </w:p>
        </w:tc>
        <w:tc>
          <w:tcPr>
            <w:tcW w:w="0" w:type="dxa"/>
            <w:vAlign w:val="bottom"/>
          </w:tcPr>
          <w:p>
            <w:pPr>
              <w:spacing w:after="0" w:line="20" w:lineRule="exact"/>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Exercisable at June 30, 2019</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1480" w:type="dxa"/>
            <w:vAlign w:val="bottom"/>
          </w:tcPr>
          <w:p>
            <w:pPr>
              <w:jc w:val="right"/>
              <w:ind w:right="51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there were 14.9 million stock options that were vested and expected to vest.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160" w:type="dxa"/>
            <w:vAlign w:val="bottom"/>
          </w:tcPr>
          <w:p>
            <w:pPr>
              <w:spacing w:after="0"/>
              <w:rPr>
                <w:sz w:val="16"/>
                <w:szCs w:val="16"/>
                <w:color w:val="auto"/>
              </w:rPr>
            </w:pPr>
          </w:p>
        </w:tc>
        <w:tc>
          <w:tcPr>
            <w:tcW w:w="1500" w:type="dxa"/>
            <w:vAlign w:val="bottom"/>
          </w:tcPr>
          <w:p>
            <w:pPr>
              <w:jc w:val="right"/>
              <w:ind w:right="37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46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w:t>
            </w: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18.90</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29.10</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23.00</w:t>
            </w:r>
          </w:p>
        </w:tc>
      </w:tr>
      <w:tr>
        <w:trPr>
          <w:trHeight w:val="264"/>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20.84</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June 30, 2019</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25.65</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The grant date fair value was based on the estimated fair value of our common stock on the date of grant.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5"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Compensation expense for restricted stock and RSUs is recognized on a straight-line basis over the requisite service period, with the exception of RSUs that include performance-based vesting conditions, which are expensed using the accelerated attribution method.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2018, our Board of Directors adopted, and our stockholders approved, our 2018 Employee Stock Purchase Plan ("2018 ESPP"). Our 2018 ESPP became effective upon the execution of the underwriting agreement related to our IPO. The number of shares of our common stock reserved for issuance under our 2018 ESPP automatically increases on January 1 of each year, beginning on January 1, 2019 and continuing through and including January 1, 2028, by the lesser of (1) 1.5% of the total number of shares of our common stock outstanding on December 31 of the preceding calendar year, (2) 8,000,000 shares of our common stock or (3) such lesser number of shares of common stock as determined by our Board of Directors. There were 4,958,092 shares reserved for issuance under the 2018 ESPP at June 30, 2019.</w:t>
      </w:r>
    </w:p>
    <w:p>
      <w:pPr>
        <w:spacing w:after="0" w:line="20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 The initial offering period began on July 25, 2018 and is scheduled to end on September 1, 2020, with purchase periods ending on March 1, 2019, September 1, 2019, March 1, 2020 and September 1, 2020. A second offering period began on March 1, 2019 and is scheduled to end on March 1, 2021, with four six-month purchase periods.</w:t>
      </w:r>
    </w:p>
    <w:p>
      <w:pPr>
        <w:spacing w:after="0" w:line="209"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In the six months ended June 30, 2019, employees purchased 438,804 shares of our common stock at a price of $19.55 per share, resulting in cash proceeds to us of $8.6 million.</w:t>
      </w:r>
    </w:p>
    <w:p>
      <w:pPr>
        <w:spacing w:after="0" w:line="196"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At June 30, 2019, there was $5.2 million of employee contributions to the 2018 ESPP included in accrued compensation. The unrecognized stock-based compensation expense related to our 2018 ESPP was $6.7 million, which is expected to be recognized over the remaining weighted average period of 1.3 years.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2018 ESPP purchase rights for the initial and second offering periods was estimated on the grant date using a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and the following assumptions: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r>
      <w:tr>
        <w:trPr>
          <w:trHeight w:val="250"/>
        </w:trPr>
        <w:tc>
          <w:tcPr>
            <w:tcW w:w="55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040" w:type="dxa"/>
            <w:vAlign w:val="bottom"/>
          </w:tcPr>
          <w:p>
            <w:pPr>
              <w:jc w:val="right"/>
              <w:spacing w:after="0"/>
              <w:rPr>
                <w:sz w:val="20"/>
                <w:szCs w:val="20"/>
                <w:color w:val="auto"/>
              </w:rPr>
            </w:pPr>
            <w:r>
              <w:rPr>
                <w:rFonts w:ascii="Arial" w:cs="Arial" w:eastAsia="Arial" w:hAnsi="Arial"/>
                <w:sz w:val="18"/>
                <w:szCs w:val="18"/>
                <w:color w:val="auto"/>
              </w:rPr>
              <w:t>31.9%</w:t>
            </w:r>
          </w:p>
        </w:tc>
        <w:tc>
          <w:tcPr>
            <w:tcW w:w="1880" w:type="dxa"/>
            <w:vAlign w:val="bottom"/>
          </w:tcPr>
          <w:p>
            <w:pPr>
              <w:ind w:left="20"/>
              <w:spacing w:after="0"/>
              <w:rPr>
                <w:sz w:val="20"/>
                <w:szCs w:val="20"/>
                <w:color w:val="auto"/>
              </w:rPr>
            </w:pPr>
            <w:r>
              <w:rPr>
                <w:rFonts w:ascii="Arial" w:cs="Arial" w:eastAsia="Arial" w:hAnsi="Arial"/>
                <w:sz w:val="18"/>
                <w:szCs w:val="18"/>
                <w:color w:val="auto"/>
              </w:rPr>
              <w:t>— 44.6%</w:t>
            </w:r>
          </w:p>
        </w:tc>
      </w:tr>
      <w:tr>
        <w:trPr>
          <w:trHeight w:val="26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4040" w:type="dxa"/>
            <w:vAlign w:val="bottom"/>
          </w:tcPr>
          <w:p>
            <w:pPr>
              <w:spacing w:after="0"/>
              <w:rPr>
                <w:sz w:val="21"/>
                <w:szCs w:val="21"/>
                <w:color w:val="auto"/>
              </w:rPr>
            </w:pPr>
          </w:p>
        </w:tc>
        <w:tc>
          <w:tcPr>
            <w:tcW w:w="188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2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95,820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94,785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5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18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52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6"/>
                <w:szCs w:val="16"/>
                <w:b w:val="1"/>
                <w:bCs w:val="1"/>
                <w:color w:val="auto"/>
              </w:rPr>
              <w:t>Three and Six Months Ended June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14,892</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19,521</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971</w:t>
            </w: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Shares to be issued under the 2018 ESPP</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55,386</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76,966</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24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58,888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114,979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88,477</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18,848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36,155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24,216</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5,327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10,006</w:t>
            </w:r>
          </w:p>
        </w:tc>
      </w:tr>
      <w:tr>
        <w:trPr>
          <w:trHeight w:val="257"/>
        </w:trPr>
        <w:tc>
          <w:tcPr>
            <w:tcW w:w="55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85,384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63,592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165,685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122,699</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Customers located in the United States accounted for 64% of revenue in the three and six months ended June 30, 2019 and 67% of revenue in the three and six months ended June 30, 2018. No other country accounted for 10% or more of revenue in the periods presented.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4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65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2018, or the 10-K, filed with the Securities and Exchange Commission on March 1, 2019. This Form 10-Q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and measuring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enterprise platform offerings, including Tenable.io, Tenable.sc and Industrial Security, are built to provide organizations with the breadth of visibility to accurately understand both traditional and modern attack surfaces and the depth of insight that stems from risk-based analytics, prioritization and benchmarking. Our Cyber Exposure platform automatically discovers assets, including those in cloud environments, and assesses these assets for the presence of vulnerabilities, internal and regulatory compliance violations, misconfigurations and other cybersecurity issues, analyzes and prioritizes cybersecurity risks based on the likelihood of a vulnerability being exploited and the business criticality of the asset, and provides an objective way to measure an organization’s cyber exposure.</w:t>
      </w:r>
    </w:p>
    <w:p>
      <w:pPr>
        <w:spacing w:after="0" w:line="31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 year term. Our subscription terms are generally not longer than three years.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31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3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experienced rapid growth in recent years. Revenue in the three months ended June 30, 2019 and 2018 and the six months ended June 30, 2019 and 2018 was $85.4 million, $ 63.6 million, $165.7 million and $122.7 million, respectively, representing respective year-over-year growth of 34% and 35% in the quarterly and year-to-date periods. Our net loss in the three months ended June 30, 2019 and 2018 and the six months ended June 30, 2019 and 2018 was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$21.6 million, $17.2 million, $43.1 million and $33.0 million, respectively, as we continue to invest in our business and market opportunity.</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85,384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165,685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122,699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(31,894)</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offer the first and only Cyber Exposure platform to provide visibility into the broadest range of traditional and modern IT assets across cloud and on-premises environments. We are intensely focused on continued innovation that empowers organizations to understand and reduce their cyber exposure. This includes ongoing development of our enterprise platform offerings. In February 2017, we released Tenable.io, our SaaS offering that is designed to provide broad visibility and insights across a broad range of traditional and modern IT assets and cloud environments.</w:t>
      </w:r>
    </w:p>
    <w:p>
      <w:pPr>
        <w:spacing w:after="0" w:line="20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continue to expand the capabilities of our enterprise platform offerings, as well as our Nessus products, specifically as it relates to the ability to scan for and detect the rapidly expanding volume of vulnerabilities.</w:t>
      </w:r>
    </w:p>
    <w:p>
      <w:pPr>
        <w:spacing w:after="0" w:line="19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significantly in our partner network and sales and marketing capability in order to grow domestically and internationally.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operational technology, or OT, they often increase the scope of their subscriptions and/or add additional perpetual licenses to our enterprise platforms.</w:t>
      </w:r>
    </w:p>
    <w:p>
      <w:pPr>
        <w:spacing w:after="0" w:line="19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them to our enterprise platform offerings, which provide continuous visibility and insights into their attack surface, as their needs develop.</w:t>
      </w:r>
    </w:p>
    <w:p>
      <w:pPr>
        <w:spacing w:after="0" w:line="20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Further, we plan to expand existing platform capabilities and launch new products, such as Tenable Lumin,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w:t>
      </w:r>
    </w:p>
    <w:p>
      <w:pPr>
        <w:spacing w:after="0" w:line="204"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evaluate our ability to expand sales with our existing customers by assessing our dollar-based net expansion rate. We calculate our dollar-based net expansion rate as follows:</w:t>
      </w:r>
    </w:p>
    <w:p>
      <w:pPr>
        <w:spacing w:after="0" w:line="196" w:lineRule="exact"/>
        <w:rPr>
          <w:sz w:val="20"/>
          <w:szCs w:val="20"/>
          <w:color w:val="auto"/>
        </w:rPr>
      </w:pPr>
    </w:p>
    <w:p>
      <w:pPr>
        <w:ind w:left="660" w:right="240" w:hanging="247"/>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establish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4" w:lineRule="exact"/>
        <w:rPr>
          <w:rFonts w:ascii="Arial" w:cs="Arial" w:eastAsia="Arial" w:hAnsi="Arial"/>
          <w:sz w:val="18"/>
          <w:szCs w:val="18"/>
          <w:color w:val="auto"/>
        </w:rPr>
      </w:pPr>
    </w:p>
    <w:p>
      <w:pPr>
        <w:ind w:left="660" w:right="280" w:hanging="247"/>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dollar-based net expansion rate for the trailing twelve months at June 30, 2019 was 117%. If we had included in the numerator the annual contract value of incremental payments related to perpetual licenses and services from existing customers, our 12-month dollar-based net expansion rate would have increased by 7 percentage points at June 30, 2019. While our dollar-based net expansion rate may decline or fluctuate from quarter to quarter based on the result of a number of factors, including our existing customers' satisfaction with our solutions, the pricing of our solutions and the ability of competing solutions and the pricing thereof, we expect that our dollar-based net expansion rate will continue to exceed 110%.</w:t>
      </w:r>
    </w:p>
    <w:p>
      <w:pPr>
        <w:spacing w:after="0" w:line="209"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These investment activities could increase our net losses over the short term if our revenue growth does not increase at higher rates. However, we expect that these investments will ultimately benefit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jc w:val="both"/>
        <w:ind w:right="620" w:firstLine="324"/>
        <w:spacing w:after="0" w:line="254"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40" w:right="27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performance and should not be considered a substitute for, or superior to, the financial information prepared and presented in accordance with GAAP.</w:t>
      </w:r>
    </w:p>
    <w:p>
      <w:pPr>
        <w:spacing w:after="0" w:line="19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 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January 1, 2017 included a</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$55.0 million increase to deferred revenue primarily related to the deferral of perpetual license revenue. This cumulative adjustment to deferred revenue at January 1, 2017 increased calculated current billings $16.7 million in 2017 and $11.8 million in 2018 and is expected to increase calculated current billings $5.6 million in 2019 and $1.9 million in 2020.</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85,384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165,685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122,699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Add: Deferred revenue (current), end of period</w:t>
            </w: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227,227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174,277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227,227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174,277</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Deferred revenue (current),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(214,508)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(160,503)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r>
      <w:tr>
        <w:trPr>
          <w:trHeight w:val="257"/>
        </w:trPr>
        <w:tc>
          <w:tcPr>
            <w:tcW w:w="55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98,103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77,366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179,268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142,078</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acquisitions. We believe that free cash flow is useful to investors as a liquidity measure because it measures our ability to generate or use cash.</w:t>
      </w:r>
    </w:p>
    <w:p>
      <w:pPr>
        <w:spacing w:after="0" w:line="19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(used in) provided by operating activities and our other GAAP financial measures.</w:t>
      </w:r>
    </w:p>
    <w:p>
      <w:pPr>
        <w:spacing w:after="0" w:line="207"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The following table presents a reconciliation of net cash (used in) provided by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280" w:firstLine="8"/>
        <w:spacing w:after="0" w:line="260" w:lineRule="auto"/>
        <w:tabs>
          <w:tab w:leader="none" w:pos="378"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included a $3.9 million benefit and a $1.0 million reduction related to employee stock purchase plan activity in the three and six months ended June 30, 2019,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434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Three Months Ended June 30, 2019</w:t>
            </w: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57"/>
        </w:trPr>
        <w:tc>
          <w:tcPr>
            <w:tcW w:w="7080" w:type="dxa"/>
            <w:vAlign w:val="bottom"/>
            <w:shd w:val="clear" w:color="auto" w:fill="CCEEFF"/>
          </w:tcPr>
          <w:p>
            <w:pPr>
              <w:jc w:val="right"/>
              <w:ind w:right="19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13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25%</w:t>
            </w:r>
          </w:p>
        </w:tc>
      </w:tr>
      <w:tr>
        <w:trPr>
          <w:trHeight w:val="123"/>
        </w:trPr>
        <w:tc>
          <w:tcPr>
            <w:tcW w:w="7080" w:type="dxa"/>
            <w:vAlign w:val="bottom"/>
          </w:tcPr>
          <w:p>
            <w:pPr>
              <w:jc w:val="right"/>
              <w:ind w:right="6108"/>
              <w:spacing w:after="0" w:line="124" w:lineRule="exact"/>
              <w:rPr>
                <w:sz w:val="20"/>
                <w:szCs w:val="20"/>
                <w:color w:val="auto"/>
              </w:rPr>
            </w:pPr>
            <w:r>
              <w:rPr>
                <w:rFonts w:ascii="Arial" w:cs="Arial" w:eastAsia="Arial" w:hAnsi="Arial"/>
                <w:sz w:val="11"/>
                <w:szCs w:val="11"/>
                <w:color w:val="auto"/>
                <w:w w:val="95"/>
              </w:rPr>
              <w:t>_______________</w:t>
            </w: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jc w:val="both"/>
        <w:ind w:right="60" w:firstLine="8"/>
        <w:spacing w:after="0" w:line="253"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SecurityCenter for an annual amount of $5,000 or greater. New enterprise platform customers represent new customer logos during the periods presented and do not include customer conversions from Nessus Professional to enterprise platforms.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At June 30,</w:t>
            </w:r>
          </w:p>
        </w:tc>
        <w:tc>
          <w:tcPr>
            <w:tcW w:w="13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58%</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use non-GAAP loss from operations, which excludes the effect of stock-based compensation and amortization of intangible assets, as a key indicator of our financial performance, along with non -GAAP operating margin, which is calculated as non-GAAP loss from operations divided by our revenue in the period. 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276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(44,919)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(31,894)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20,692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5,423</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302</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loss from operations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(10,710)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(23,925)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(26,169)</w:t>
            </w:r>
          </w:p>
        </w:tc>
      </w:tr>
      <w:tr>
        <w:trPr>
          <w:trHeight w:val="305"/>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margin</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and amortization of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prior to 2019.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90"/>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w:t>
            </w:r>
          </w:p>
        </w:tc>
        <w:tc>
          <w:tcPr>
            <w:tcW w:w="0" w:type="dxa"/>
            <w:vAlign w:val="bottom"/>
          </w:tcPr>
          <w:p>
            <w:pPr>
              <w:spacing w:after="0"/>
              <w:rPr>
                <w:sz w:val="1"/>
                <w:szCs w:val="1"/>
                <w:color w:val="auto"/>
              </w:rPr>
            </w:pPr>
          </w:p>
        </w:tc>
      </w:tr>
      <w:tr>
        <w:trPr>
          <w:trHeight w:val="305"/>
        </w:trPr>
        <w:tc>
          <w:tcPr>
            <w:tcW w:w="5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attributable to common stockholders and non-GAAP net loss per</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basic and diluted</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94,785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Pro forma adjustment to reflect the assumed conversion of our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convertible redeemable preferred stock as of the beginning of the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55,386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95,820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79,136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94,785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per share,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 basic and diluted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20" w:firstLine="8"/>
        <w:spacing w:after="0" w:line="253" w:lineRule="auto"/>
        <w:tabs>
          <w:tab w:leader="none" w:pos="3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tax impact of the adjustments to net loss attributable to common stockholders is based on the tax treatment for applicable tax jurisdictions. There was no tax impact related to the amortization of intangible assets as it was incurred in the United States in periods in which we had a net operating loss for which we maintained a full valuation allowance.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6"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hosting costs for Tenable.io, the costs related to professional services and training, depreciation and amortization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our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and stock-based compensation expense. Operating expenses also include depreciation and amortization as well as allocated overhead costs including IT and facilities costs.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make significant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and allocated overhead.</w:t>
      </w:r>
    </w:p>
    <w:p>
      <w:pPr>
        <w:spacing w:after="0" w:line="19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4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Interest income (expense), net consists primarily of interest income earned on cash and cash equivalents and short-term investments, and interest expense in connection with fees for our unused revolving credit facility.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and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40" w:right="279" w:bottom="1440" w:gutter="0" w:footer="0" w:header="0"/>
        </w:sectPr>
      </w:pPr>
    </w:p>
    <w:bookmarkStart w:id="28" w:name="page29"/>
    <w:bookmarkEnd w:id="28"/>
    <w:p>
      <w:pPr>
        <w:jc w:val="center"/>
        <w:ind w:right="95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165,685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122,699</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18,607</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138,541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104,092</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108,704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81,414</w:t>
            </w:r>
          </w:p>
        </w:tc>
        <w:tc>
          <w:tcPr>
            <w:tcW w:w="0" w:type="dxa"/>
            <w:vAlign w:val="bottom"/>
          </w:tcPr>
          <w:p>
            <w:pPr>
              <w:spacing w:after="0"/>
              <w:rPr>
                <w:sz w:val="1"/>
                <w:szCs w:val="1"/>
                <w:color w:val="auto"/>
              </w:rPr>
            </w:pPr>
          </w:p>
        </w:tc>
      </w:tr>
      <w:tr>
        <w:trPr>
          <w:trHeight w:val="270"/>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21,698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43,633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34,976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19,596</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93,700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70,158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183,460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135,986</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(32,363)</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1,277</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1,167</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2,788</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920" w:type="dxa"/>
            <w:vAlign w:val="bottom"/>
            <w:gridSpan w:val="3"/>
          </w:tcPr>
          <w:p>
            <w:pPr>
              <w:ind w:left="118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85,384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63,592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21,792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increase in revenue of $21.8 million was comprised of increases in subscription revenue of $20.7 million, perpetual license and maintenance revenue of $0.1 million and professional services and other revenue of $1.0 million. Revenue from existing customers comprised 43% of the increase, while the remaining increase was due to revenue from new customers since July 1, 2018. International revenue increased $10.0 million, or 48%.</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1880" w:type="dxa"/>
            <w:vAlign w:val="bottom"/>
            <w:gridSpan w:val="3"/>
          </w:tcPr>
          <w:p>
            <w:pPr>
              <w:ind w:left="114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13,918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9,879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2"/>
                <w:szCs w:val="22"/>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71,466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53,713</w:t>
            </w:r>
          </w:p>
        </w:tc>
        <w:tc>
          <w:tcPr>
            <w:tcW w:w="12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17,753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$4.0 million was primarily due to:</w:t>
      </w:r>
    </w:p>
    <w:p>
      <w:pPr>
        <w:spacing w:after="0" w:line="117" w:lineRule="exact"/>
        <w:rPr>
          <w:sz w:val="20"/>
          <w:szCs w:val="20"/>
          <w:color w:val="auto"/>
        </w:rPr>
      </w:pPr>
    </w:p>
    <w:p>
      <w:pPr>
        <w:ind w:left="660" w:right="6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$1.7 million increase in personnel costs primarily due to increased headcount, including a $0.6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$1.2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driven by both the increase in headcount and the overall increase in such costs on a year-over-year basis;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$0.2 million increase in professional fees.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56,015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14,189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$14.2 million was primarily due to:</w:t>
      </w:r>
    </w:p>
    <w:p>
      <w:pPr>
        <w:spacing w:after="0" w:line="117" w:lineRule="exact"/>
        <w:rPr>
          <w:sz w:val="20"/>
          <w:szCs w:val="20"/>
          <w:color w:val="auto"/>
        </w:rPr>
      </w:pPr>
    </w:p>
    <w:p>
      <w:pPr>
        <w:ind w:left="660" w:right="1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$9.2 million increase in personnel costs largely associated with an increase in headcount, including a $3.5 million increase in stock-based compensation;</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$1.9 million increase in selling expenses, including travel and meeting costs and the costs of software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$1.7 million increase in expenses related to the timing of our annual user conference;</w:t>
      </w:r>
    </w:p>
    <w:p>
      <w:pPr>
        <w:spacing w:after="0" w:line="63"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$0.7 million increase in sales commissions, including sales commission draws, due to increased sales and the amortization of deferred commissions; and</w:t>
      </w:r>
    </w:p>
    <w:p>
      <w:pPr>
        <w:spacing w:after="0" w:line="3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$0.6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17,791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$3.9 million was primarily due to:</w:t>
      </w:r>
    </w:p>
    <w:p>
      <w:pPr>
        <w:spacing w:after="0" w:line="117" w:lineRule="exact"/>
        <w:rPr>
          <w:sz w:val="20"/>
          <w:szCs w:val="20"/>
          <w:color w:val="auto"/>
        </w:rPr>
      </w:pPr>
    </w:p>
    <w:p>
      <w:pPr>
        <w:ind w:left="660" w:right="1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$3.0 million increase in personnel costs largely associated with an increase in headcount, including a $1.8 million increase in stock-based compensation, net of $0.8 million of development costs capitalized for internal use software;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$0.6 million increase in third-party cloud infrastructure costs related to the development of new and future offerings;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$0.3 million increase in software subscription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$5.4 million was primarily due to:</w:t>
      </w:r>
    </w:p>
    <w:p>
      <w:pPr>
        <w:spacing w:after="0" w:line="117" w:lineRule="exact"/>
        <w:rPr>
          <w:sz w:val="20"/>
          <w:szCs w:val="20"/>
          <w:color w:val="auto"/>
        </w:rPr>
      </w:pPr>
    </w:p>
    <w:p>
      <w:pPr>
        <w:ind w:left="660" w:right="1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$3.9 million increase in personnel costs largely associated with an increase in headcount, including a $2.4 million increase in stock-based compensation;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$0.8 million increase in professional fees, primarily related to external accounting and legal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$0.3 million increase in insurance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$0.2 million increase in software subscription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165,685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122,699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42,986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21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increase in revenue of $43.0 million was comprised of increases in subscription revenue of $41.1 million, perpetual license and maintenance revenue of $0.2 million and professional services and other revenue of $1.7 million. Revenue from existing customers comprised 51% of the increase, while the remaining increase was due to revenue from new customers since July 1, 2018. International revenue increased $19.2 million, or 48%.</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18,607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138,541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104,092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34,449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$8.5 million was primarily due to:</w:t>
      </w:r>
    </w:p>
    <w:p>
      <w:pPr>
        <w:spacing w:after="0" w:line="117" w:lineRule="exact"/>
        <w:rPr>
          <w:sz w:val="20"/>
          <w:szCs w:val="20"/>
          <w:color w:val="auto"/>
        </w:rPr>
      </w:pPr>
    </w:p>
    <w:p>
      <w:pPr>
        <w:ind w:left="660" w:right="6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$3.6 million increase in personnel costs primarily due to increased headcount, including a $1.2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$2.1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$0.4 million increase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$0.4 million increase in software subscription expenses.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108,704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81,414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27,290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$27.3 million was primarily due to:</w:t>
      </w:r>
    </w:p>
    <w:p>
      <w:pPr>
        <w:spacing w:after="0" w:line="117" w:lineRule="exact"/>
        <w:rPr>
          <w:sz w:val="20"/>
          <w:szCs w:val="20"/>
          <w:color w:val="auto"/>
        </w:rPr>
      </w:pPr>
    </w:p>
    <w:p>
      <w:pPr>
        <w:ind w:left="660" w:right="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$18.6 million increase in personnel costs largely associated with an increase in headcount, including a $6.3 million increase in stock-based compensation and a $1.2 million increase in the employer portion of payroll taxes related to option exercises;</w:t>
      </w:r>
    </w:p>
    <w:p>
      <w:pPr>
        <w:spacing w:after="0" w:line="34"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$2.7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$3.5 million increase in selling expenses, including travel and meeting costs and the costs of software subscriptions;</w:t>
      </w:r>
    </w:p>
    <w:p>
      <w:pPr>
        <w:spacing w:after="0" w:line="6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$1.3 million increase in expenses for demand generation programs, including advertising, sponsorships and brand awareness efforts aimed at acquiring new customers; and</w:t>
      </w:r>
    </w:p>
    <w:p>
      <w:pPr>
        <w:spacing w:after="0" w:line="3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4"/>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43,633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34,976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$8.7 million was primarily due to:</w:t>
      </w:r>
    </w:p>
    <w:p>
      <w:pPr>
        <w:spacing w:after="0" w:line="117" w:lineRule="exact"/>
        <w:rPr>
          <w:sz w:val="20"/>
          <w:szCs w:val="20"/>
          <w:color w:val="auto"/>
        </w:rPr>
      </w:pPr>
    </w:p>
    <w:p>
      <w:pPr>
        <w:ind w:left="660" w:right="10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$7.5 million increase in personnel costs largely associated with an increase in headcount, including a $3.3 million increase in stock-based compensation and a $0.4 million increase in the employer portion of payroll taxes related to option exercises, net of $1.7 million of development costs capitalized for internal use software; and</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increase in third-party cloud infrastructure costs related to the development of new and future offerings.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4"/>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31,123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19,596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11,527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$11.5 million was primarily due to:</w:t>
      </w:r>
    </w:p>
    <w:p>
      <w:pPr>
        <w:spacing w:after="0" w:line="63" w:lineRule="exact"/>
        <w:rPr>
          <w:sz w:val="20"/>
          <w:szCs w:val="20"/>
          <w:color w:val="auto"/>
        </w:rPr>
      </w:pPr>
    </w:p>
    <w:p>
      <w:pPr>
        <w:ind w:left="660" w:right="1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$7.9 million increase in personnel costs largely associated with an increase in headcount, including a $4.5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increase in professional fees, primarily related to external accounting and legal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$0.5 million increase in insurance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$0.3 million increase in software subscription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At June 30, 2019, we had cash and cash equivalents consisting of bank deposits, commercial paper and money market funds of $185.7 million and short-term investments consisting of commercial paper, U.S Treasury and agency obligations and corporate bonds of $111.3 million.</w:t>
      </w:r>
    </w:p>
    <w:p>
      <w:pPr>
        <w:spacing w:after="0" w:line="20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prior to our IPO. The proceeds of our Series A and Series B redeemable convertible preferred stock financings were used to repurchase shares of capital stock from former stockholders. We have generated significant operating losses from our operations as reflected by our accumulated deficit of $509.2 million at June 30, 2019.</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June 30, 2019, we had deferred revenue of $307.3 million, of which $227.2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and investments in infrastructure. We expect to continue incurring operating losses and generating negative cash flows from operations in the near-term; however,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such as our new corporate headquarters, the expansion of sales and marketing and international operating activities, the timing of introduction of new product capabilities and enhancements of our platform and the continuing market acceptance of our platform.</w:t>
      </w:r>
    </w:p>
    <w:p>
      <w:pPr>
        <w:spacing w:after="0" w:line="20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2"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 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June 30, 2019.</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140" w:right="31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the six months ended June 30, 2019, net cash used in operating activities was $3.0 million, which primarily consisted of our $43.1 million loss, adjusted for stock-based compensation expense of $20.7 million and depreciation and amortization of $3.1 million, as well as a net cash inflow of $17.3 million from changes in operating assets and liabilities. The net inflow from changes in operating assets and liabilities was primarily due to a $17.4 million increase in deferred revenue from increased subscription sales as a majority of our customers are invoiced in advance.</w:t>
      </w:r>
    </w:p>
    <w:p>
      <w:pPr>
        <w:spacing w:after="0" w:line="20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the six months ended June 30, 2018, net cash provided by operating activities was $0.7 million, which primarily consisted of our $ 33.0 million loss, adjusted for stock-based compensation expense of $5.4 million and depreciation and amortization of $3.0 million, as well as a net cash inflow of $ 24.7 million from changes in operating assets and liabilities. The net inflow from changes in operating assets and liabilities was primarily due to a $21.3 million increase in deferred revenue from increased subscription sales as a majority of our customers are invoiced in advance.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provided by investing activities increased by $5.9 million, primarily due to an $8.3 million increase in the sales and maturities, net of any purchases, of short-term investments in commercial paper, U.S. Treasury and agency obligations and corporate bonds, partially offset by a $2.4 million increase in purchases of property and equipment.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Net cash provided by financing activities increased by $22.1 million, primarily due to $11.7 million and $8.6 million of increases in proceeds from stock issued in connection with the exercise of stock options and the employee stock purchase plan,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there were no material changes in our contractual obligations and commitments from those disclosed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At June 30, 2019,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estimates are based on historical experience and various other assumptions that we believe to be reasonable under the circumstances. Our actual results could differ from these estimates.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 not yet adopted.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We will no longer be an emerging growth company when we become a large accelerated filer on December 31, 2019.</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40" w:right="27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At June 30, 2019, we had cash and cash equivalents of $185.7 million, consisting of cash deposits, commercial paper and money market funds. We also had short-term investments of $111.3 million, consisting of commercial paper, U.S. treasury and agency securities, and corporate bonds. Our investments are carried at their fair market value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2019, our disclosure controls and procedures were effective to</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w:t>
      </w:r>
    </w:p>
    <w:p>
      <w:pPr>
        <w:spacing w:after="0" w:line="2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15d-15(d) of the Exchange Act during the period covered by this Quarterly Report on Form 10-Q that materially affected, or are reasonably likely to materially affect, our internal control over financial reporting.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40" w:right="27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$43.1 million and $33.0 million in the six months ended June 30, 2019 and 2018, respectively. As of June 30, 2019, we had an accumulated deficit of $509.2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From the six months ended June 30, 2018 to the six months ended June 30, 2019, our revenue grew from $122.7 million to $165.7 million.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4" w:lineRule="exact"/>
        <w:rPr>
          <w:sz w:val="20"/>
          <w:szCs w:val="20"/>
          <w:color w:val="auto"/>
        </w:rPr>
      </w:pPr>
    </w:p>
    <w:p>
      <w:pPr>
        <w:ind w:right="540" w:firstLine="324"/>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6"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IT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and broader global distribution and presence. In addition, our industry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is evolving rapidly and is becoming increasingly competitive. Larger and more established companies may focus on cybersecurity and could directly compete with us. Smaller companies could also launch new products and services that we do not offer and that could gain market acceptance quickly.</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public cloud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and there is no assurance that such activities will result in significant cost savings, revenue or other expected benefits. For example, we plan to release a new product, Tenable Lumin, and there can be no assurance that product will offer the benefits we expect or generate customer interest. We may also face delays or uncertainty in our release timing for Tenable Lumin that may be costly or reduce its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8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1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while customers are typically invoiced in advance, including multi-year contracts, and our contracts generally do not provide for refunds during the subscription or maintenance period, a small number of customers could take the position that provisions in their customer agreements give them the right to terminate their agreement with us, or allege a material breach of their agreement with us, due to or in connection with the sale of our common stock. Early termination of these customer agreements for these reasons would generally only allow us to retain fees already paid by the customer for services rendered prior to the termination. Termination of these agreements, or allegations that we have breached one of these agreements with them, could decrease our customer revenue and increase legal and administrative costs.</w:t>
      </w:r>
    </w:p>
    <w:p>
      <w:pPr>
        <w:spacing w:after="0" w:line="18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 cause us to issue credits to customers, subject us to potential liability and cause customers to not renew their purchases of our solutions.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0" w:right="25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1,314 employees as of June 30, 2019.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213" w:lineRule="exact"/>
        <w:rPr>
          <w:sz w:val="20"/>
          <w:szCs w:val="20"/>
          <w:color w:val="auto"/>
        </w:rPr>
      </w:pPr>
    </w:p>
    <w:p>
      <w:pPr>
        <w:jc w:val="both"/>
        <w:ind w:right="28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4"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 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the efficacy and longevity of these mechanisms remains uncertain. Potential or actual legal proceeding could lead to one or both of these mechanisms being declared invalid. Further, local data protection authorities general may have different interpretations of the GDPR, leading to potential inconsistencies amongst various EU states.</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California recently enacted the California Consumer Privacy Act, or the CCPA, which creates new individual privacy rights for consumers and places increased privacy and security obligations on entities handling the personal data of consumers or households. When it goes into effect on January 1, 2020, the CCPA will require covered companies to provide new disclosures to California consumers, which could include certain of our employees based on the broad definitions in the law, to provide such consumers new ways to opt out of certain sales of personal information and to allow for a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order to help facilitate sales of our offerings as part of larger purchases in the United States and to grow our business internationally. In the six months ended June 30, 2019 and 2018, we derived 90% and 87%, respectively, of our revenue from subscriptions and perpetual licenses sold through channel partners, and the percentage of revenue derived from channel partners may increase in future periods.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Ingram Micro, Inc., a distributor, accounted for 43% and 46% of our revenue in the six months ended June 30, 2019 and 2018, respectively, and 42% of our accounts receivable as of June 30, 2019.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the U.S. Foreign Corrupt Practices Act of 1977, as amended, or the FCPA, the U.K. Bribery Act 2010 and other similar statutory requirements prohibiting bribery and corruption in the jurisdictions in which we operate.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reduce our prices or change our pricing model to remain competitive.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or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185"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w:t>
      </w:r>
    </w:p>
    <w:p>
      <w:pPr>
        <w:spacing w:after="0" w:line="17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enterprise platform offerings are generally priced based on the number of IT assets or IP addresses that a customer chooses to monitor. As the amount of IT assets or IP addresses within our customers’ organizations grows, we may face pressure from our customers regarding our pricing, which could adversely affect our revenue and operating margins.</w:t>
      </w:r>
    </w:p>
    <w:p>
      <w:pPr>
        <w:spacing w:after="0" w:line="20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4"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Tenable.io does not garner widespread market adoption and implementation, our operating results and competitive position could suffer.</w:t>
      </w:r>
    </w:p>
    <w:p>
      <w:pPr>
        <w:spacing w:after="0" w:line="209" w:lineRule="exact"/>
        <w:rPr>
          <w:sz w:val="20"/>
          <w:szCs w:val="20"/>
          <w:color w:val="auto"/>
        </w:rPr>
      </w:pPr>
    </w:p>
    <w:p>
      <w:pPr>
        <w:jc w:val="both"/>
        <w:ind w:right="28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7"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7"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36% and 33% of our revenue in the six months ended June 30, 2019 and 2018, respectively. Our growth strategy is dependent, in part, on our continued international expansion. We expect to conduct a significant amount of our business with organizations that are located outside the United States,</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40" w:right="27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pending exit from the European Union, commonly referred to as “Brexit”;</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1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90"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40" w:right="27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For example, we developed our Industrial Security solution in partnership with Siemens.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w:t>
      </w:r>
    </w:p>
    <w:p>
      <w:pPr>
        <w:spacing w:after="0" w:line="21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0" w:right="25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have in the past acquired products and technologies from other parties, and we may choose to expand our current business by acquiring additional businesses or technologies in the future. Acquisitions involve many risks, including the following:</w:t>
      </w:r>
    </w:p>
    <w:p>
      <w:pPr>
        <w:spacing w:after="0" w:line="88" w:lineRule="exact"/>
        <w:rPr>
          <w:sz w:val="20"/>
          <w:szCs w:val="20"/>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0" w:right="25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disclosures are being subjected to heightened scrutiny by regulators and the public. Further, the accounting rules and regulations are continually changing in ways that could impact our financial statements.</w:t>
      </w:r>
    </w:p>
    <w:p>
      <w:pPr>
        <w:spacing w:after="0" w:line="17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commissions,useful lives of long-lived assets, the valuation of stock-based compensation, including the estimated underlying fair value of our common stock prior to our IPO,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7"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As of December 31, 2018, we had federal, state, and foreign net operating loss carryforwards, or NOLs, of $85.9 million, $60.4 million, and $102.3 million, respectively, available to offset future taxable income, which begin to expire in 2030. A lack of future taxable income would adversely affect our ability to utilize these NOLs before they expire.</w:t>
      </w:r>
    </w:p>
    <w:p>
      <w:pPr>
        <w:spacing w:after="0" w:line="202"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ability to use NOLs if a company experiences a more-than-50-percent ownership change over a three-year testing period. Based upon an analysis as of December 31, 2017, we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182"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1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December 22, 2017, U.S. Federal tax reform was enacted with the signing of the Tax Cuts and Jobs Act, or TCJA. Notable provisions of the TCJA included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We continue to examine the impact that the TCJA may have on our business. The impact of this tax reform on us and on holders of our common stock is uncertain and could materially impact our financial results.</w:t>
      </w:r>
    </w:p>
    <w:p>
      <w:pPr>
        <w:spacing w:after="0" w:line="17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sell directly and indirectly, via third-party representatives, to the U.S. and non-U.S. government sectors, and our employees and third-party representatives interact with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0" w:right="25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0"/>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As of June 30, 2019, we had 15 issued patents and seven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and “Tenable.io”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5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continue to develop or be sustained. The lack of an active market may impair your ability to sell your shares at the time you wish to sell them or at a price that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140" w:right="29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9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w:t>
      </w:r>
    </w:p>
    <w:p>
      <w:pPr>
        <w:spacing w:after="0" w:line="204" w:lineRule="exact"/>
        <w:rPr>
          <w:sz w:val="20"/>
          <w:szCs w:val="20"/>
          <w:color w:val="auto"/>
        </w:rPr>
      </w:pPr>
    </w:p>
    <w:p>
      <w:pPr>
        <w:ind w:right="260" w:firstLine="324"/>
        <w:spacing w:after="0" w:line="251" w:lineRule="auto"/>
        <w:rPr>
          <w:sz w:val="20"/>
          <w:szCs w:val="20"/>
          <w:color w:val="auto"/>
        </w:rPr>
      </w:pPr>
      <w:r>
        <w:rPr>
          <w:rFonts w:ascii="Arial" w:cs="Arial" w:eastAsia="Arial" w:hAnsi="Arial"/>
          <w:sz w:val="18"/>
          <w:szCs w:val="18"/>
          <w:color w:val="auto"/>
        </w:rPr>
        <w:t>Upon the closing of our IPO, the 12,535,000 shares sold in the offering became freely tradable, and all the remaining shares of common stock outstanding at the time of our IPO became available for sale in the public market in January 2019 following the expiration of lock-up agreements between our stockholders and the underwriters for the IPO. Additionally, stockholders holding a substantial majority of the outstanding shares of our common stock have the right, subject to various conditions and limitations, to require us to file one or more registration statements covering their shares or to include their shares of our common stock in registration statements that we may file for ourselves or other stockholders. If the offer and sale of these shares are registered, they will be freely tradable without restriction under the Securities Act. Shares of common stock sold under such registration statements can be freely sold in the public market. In the event such registration rights are exercised and a large number of shares of common stock are sold in the public market, such sales could reduce the trading price of our common stock.</w:t>
      </w:r>
    </w:p>
    <w:p>
      <w:pPr>
        <w:spacing w:after="0" w:line="21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we filed a registration statement on Form S-8 under the Securities Act registering the issuance of shares of common stock subject to options or other equity awards issued or reserved for future issuance under our equity incentive plans. Shares registered under this registration statement on Form S-8 are available for sale in the public market subject to vesting arrangements and exercise of options and the restrictions of Rule 144 under the Securities Act in the case of our affiliates.</w:t>
      </w:r>
    </w:p>
    <w:p>
      <w:pPr>
        <w:spacing w:after="0" w:line="18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0" w:right="25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440" w:firstLine="324"/>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after we cease to be an emerging growth company on December 31, 2019.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1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0" w:right="239" w:bottom="1440" w:gutter="0" w:footer="0" w:header="0"/>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187" w:lineRule="exact"/>
        <w:rPr>
          <w:sz w:val="20"/>
          <w:szCs w:val="20"/>
          <w:color w:val="auto"/>
        </w:rPr>
      </w:pPr>
    </w:p>
    <w:p>
      <w:pPr>
        <w:ind w:right="280" w:firstLine="324"/>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will be required, pursuant to Section 404 of the Sarbanes-Oxley Act, or Section 404, to furnish a report by management on, among other things, the effectiveness of our internal control over financial reporting in our annual report for the year ending December 31, 2019 to be filed with the SEC in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that annual report. We are also required to disclose significant changes made in our internal control procedures on a quarterly basis.</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38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0" w:name="page61"/>
    <w:bookmarkEnd w:id="6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2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4"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This exclusive forum provision, if permitted by applicable law, may limit a stockholder’s ability to bring a claim in a judicial forum that it finds favorable for disputes with us or our directors, officers or other employees, which may discourage such lawsuits against us and our directors, officers or other employees. If a court were to find this exclusive forum provision to be inapplicable or unenforceable in an action, we may incur additional costs associated with resolving such action in other jurisdictions, which could adversely affect our results of operations and financial condition.</w:t>
      </w:r>
    </w:p>
    <w:p>
      <w:pPr>
        <w:spacing w:after="0" w:line="21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Recently, the Delaware Chancery Court issued an opinion invalidating such a provision. In light of that recent decision, we will not attempt to enforce this provision of our amended and restated certificate of incorporation to the extent it is not permitted by applicable law. As a result, we may incur additional costs associated with resolving disputes that would otherwise be restricted by that provision in other jurisdictions, which could seriously harm our business.</w:t>
      </w:r>
    </w:p>
    <w:p>
      <w:pPr>
        <w:spacing w:after="0" w:line="187" w:lineRule="exact"/>
        <w:rPr>
          <w:sz w:val="20"/>
          <w:szCs w:val="20"/>
          <w:color w:val="auto"/>
        </w:rPr>
      </w:pPr>
    </w:p>
    <w:p>
      <w:pPr>
        <w:ind w:right="920" w:firstLine="324"/>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5"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We are currently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1" w:name="page62"/>
    <w:bookmarkEnd w:id="6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compensation and stockholder approval of any golden parachute payments not previously approved. We may take advantage of these exemptions until we are no longer an emerging growth company, which will be on December 31, 2019. We cannot predict if investors will find our common stock less attractive if we choose to rely on these exemptions. If some investors find our common stock less attractive as a result, there may be a less active trading market for our common stock and our stock price may be more volatile.</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240" w:firstLine="324"/>
        <w:spacing w:after="0" w:line="262"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140" w:right="319" w:bottom="1440" w:gutter="0" w:footer="0" w:header="0"/>
        </w:sectPr>
      </w:pPr>
    </w:p>
    <w:bookmarkStart w:id="62" w:name="page63"/>
    <w:bookmarkEnd w:id="6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22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gridSpan w:val="2"/>
          </w:tcPr>
          <w:p>
            <w:pPr>
              <w:ind w:left="290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352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Location</w:t>
            </w:r>
          </w:p>
        </w:tc>
      </w:tr>
      <w:tr>
        <w:trPr>
          <w:trHeight w:val="311"/>
        </w:trPr>
        <w:tc>
          <w:tcPr>
            <w:tcW w:w="7900" w:type="dxa"/>
            <w:vAlign w:val="bottom"/>
            <w:gridSpan w:val="6"/>
          </w:tcPr>
          <w:p>
            <w:pPr>
              <w:ind w:left="68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9">
              <w:r>
                <w:rPr>
                  <w:rFonts w:ascii="Arial" w:cs="Arial" w:eastAsia="Arial" w:hAnsi="Arial"/>
                  <w:sz w:val="16"/>
                  <w:szCs w:val="16"/>
                  <w:color w:val="0000FF"/>
                </w:rPr>
                <w:t>Amended and Restated Certificate of Incorporation of Tenable Holdings, Inc.</w:t>
              </w:r>
            </w:hyperlink>
          </w:p>
        </w:tc>
        <w:tc>
          <w:tcPr>
            <w:tcW w:w="3520" w:type="dxa"/>
            <w:vAlign w:val="bottom"/>
          </w:tcPr>
          <w:p>
            <w:pPr>
              <w:ind w:left="20"/>
              <w:spacing w:after="0"/>
              <w:rPr>
                <w:sz w:val="20"/>
                <w:szCs w:val="20"/>
                <w:color w:val="auto"/>
              </w:rPr>
            </w:pPr>
            <w:r>
              <w:rPr>
                <w:rFonts w:ascii="Arial" w:cs="Arial" w:eastAsia="Arial" w:hAnsi="Arial"/>
                <w:sz w:val="16"/>
                <w:szCs w:val="16"/>
                <w:color w:val="auto"/>
              </w:rPr>
              <w:t>Previously filed as Exhibit 3.1 to the Company's</w:t>
            </w:r>
          </w:p>
        </w:tc>
      </w:tr>
      <w:tr>
        <w:trPr>
          <w:trHeight w:val="198"/>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tcBorders>
              <w:top w:val="single" w:sz="8" w:color="0000FF"/>
            </w:tcBorders>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Current Report on Form 8-K (File No. 001-</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38600) on July 30, 2018</w:t>
            </w:r>
          </w:p>
        </w:tc>
      </w:tr>
    </w:tbl>
    <w:p>
      <w:pPr>
        <w:spacing w:after="0" w:line="48" w:lineRule="exact"/>
        <w:rPr>
          <w:sz w:val="20"/>
          <w:szCs w:val="20"/>
          <w:color w:val="auto"/>
        </w:rPr>
      </w:pPr>
    </w:p>
    <w:p>
      <w:pPr>
        <w:sectPr>
          <w:pgSz w:w="11900" w:h="16838" w:orient="portrait"/>
          <w:cols w:equalWidth="0" w:num="1">
            <w:col w:w="11420"/>
          </w:cols>
          <w:pgMar w:left="240" w:top="140" w:right="239" w:bottom="1440" w:gutter="0" w:footer="0" w:header="0"/>
        </w:sectPr>
      </w:pPr>
    </w:p>
    <w:p>
      <w:pPr>
        <w:ind w:left="680"/>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3.2</w:t>
      </w:r>
      <w:r>
        <w:rPr>
          <w:sz w:val="20"/>
          <w:szCs w:val="20"/>
          <w:color w:val="auto"/>
        </w:rPr>
        <w:tab/>
      </w:r>
      <w:hyperlink r:id="rId10">
        <w:r>
          <w:rPr>
            <w:rFonts w:ascii="Arial" w:cs="Arial" w:eastAsia="Arial" w:hAnsi="Arial"/>
            <w:sz w:val="16"/>
            <w:szCs w:val="16"/>
            <w:u w:val="single" w:color="auto"/>
            <w:color w:val="0000FF"/>
          </w:rPr>
          <w:t>Amended and Restated Bylaws of Tenable Holdings, Inc.</w:t>
        </w:r>
      </w:hyperlink>
    </w:p>
    <w:p>
      <w:pPr>
        <w:spacing w:after="0" w:line="200" w:lineRule="exact"/>
        <w:rPr>
          <w:sz w:val="20"/>
          <w:szCs w:val="20"/>
          <w:color w:val="auto"/>
        </w:rPr>
      </w:pPr>
    </w:p>
    <w:p>
      <w:pPr>
        <w:spacing w:after="0" w:line="237" w:lineRule="exact"/>
        <w:rPr>
          <w:sz w:val="20"/>
          <w:szCs w:val="20"/>
          <w:color w:val="auto"/>
        </w:rPr>
      </w:pPr>
    </w:p>
    <w:p>
      <w:pPr>
        <w:ind w:left="680"/>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1">
        <w:r>
          <w:rPr>
            <w:rFonts w:ascii="Arial" w:cs="Arial" w:eastAsia="Arial" w:hAnsi="Arial"/>
            <w:sz w:val="16"/>
            <w:szCs w:val="16"/>
            <w:u w:val="single" w:color="auto"/>
            <w:color w:val="0000FF"/>
          </w:rPr>
          <w:t>Common Stock Certificate of Tenable Holdings, Inc.</w:t>
        </w:r>
      </w:hyperlink>
    </w:p>
    <w:p>
      <w:pPr>
        <w:spacing w:after="0" w:line="200" w:lineRule="exact"/>
        <w:rPr>
          <w:sz w:val="20"/>
          <w:szCs w:val="20"/>
          <w:color w:val="auto"/>
        </w:rPr>
      </w:pPr>
    </w:p>
    <w:p>
      <w:pPr>
        <w:spacing w:after="0" w:line="237" w:lineRule="exact"/>
        <w:rPr>
          <w:sz w:val="20"/>
          <w:szCs w:val="20"/>
          <w:color w:val="auto"/>
        </w:rPr>
      </w:pPr>
    </w:p>
    <w:p>
      <w:pPr>
        <w:ind w:left="1080" w:right="20" w:hanging="49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w:anchor="page65">
        <w:r>
          <w:rPr>
            <w:rFonts w:ascii="Arial" w:cs="Arial" w:eastAsia="Arial" w:hAnsi="Arial"/>
            <w:sz w:val="16"/>
            <w:szCs w:val="16"/>
            <w:u w:val="single" w:color="auto"/>
            <w:color w:val="0000FF"/>
          </w:rPr>
          <w:t>Form of Restricted Stock Unit Grant Notice and Agreement under the 2018 Equity Incentive</w:t>
        </w:r>
      </w:hyperlink>
      <w:r>
        <w:rPr>
          <w:rFonts w:ascii="Arial" w:cs="Arial" w:eastAsia="Arial" w:hAnsi="Arial"/>
          <w:sz w:val="16"/>
          <w:szCs w:val="16"/>
          <w:u w:val="single" w:color="auto"/>
          <w:color w:val="0000FF"/>
        </w:rPr>
        <w:t xml:space="preserve"> </w:t>
      </w:r>
      <w:hyperlink w:anchor="page65">
        <w:r>
          <w:rPr>
            <w:rFonts w:ascii="Arial" w:cs="Arial" w:eastAsia="Arial" w:hAnsi="Arial"/>
            <w:sz w:val="16"/>
            <w:szCs w:val="16"/>
            <w:u w:val="single" w:color="auto"/>
            <w:color w:val="0000FF"/>
          </w:rPr>
          <w:t>Plan</w:t>
        </w:r>
      </w:hyperlink>
    </w:p>
    <w:p>
      <w:pPr>
        <w:spacing w:after="0" w:line="34" w:lineRule="exact"/>
        <w:rPr>
          <w:sz w:val="20"/>
          <w:szCs w:val="20"/>
          <w:color w:val="auto"/>
        </w:rPr>
      </w:pPr>
    </w:p>
    <w:p>
      <w:pPr>
        <w:ind w:left="1080" w:right="60" w:hanging="490"/>
        <w:spacing w:after="0" w:line="253"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74">
        <w:r>
          <w:rPr>
            <w:rFonts w:ascii="Arial" w:cs="Arial" w:eastAsia="Arial" w:hAnsi="Arial"/>
            <w:sz w:val="16"/>
            <w:szCs w:val="16"/>
            <w:u w:val="single" w:color="auto"/>
            <w:color w:val="0000FF"/>
          </w:rPr>
          <w:t>Certification of the Principal Executive Officer pursuant to Rules 13a-14(a) and 15d-14(a)</w:t>
        </w:r>
      </w:hyperlink>
      <w:r>
        <w:rPr>
          <w:rFonts w:ascii="Arial" w:cs="Arial" w:eastAsia="Arial" w:hAnsi="Arial"/>
          <w:sz w:val="16"/>
          <w:szCs w:val="16"/>
          <w:u w:val="single" w:color="auto"/>
          <w:color w:val="0000FF"/>
        </w:rPr>
        <w:t xml:space="preserve"> </w:t>
      </w:r>
      <w:hyperlink w:anchor="page74">
        <w:r>
          <w:rPr>
            <w:rFonts w:ascii="Arial" w:cs="Arial" w:eastAsia="Arial" w:hAnsi="Arial"/>
            <w:sz w:val="16"/>
            <w:szCs w:val="16"/>
            <w:u w:val="single" w:color="auto"/>
            <w:color w:val="0000FF"/>
          </w:rPr>
          <w:t>under the Exchange Act, as adopted pursuant to Section 302 of the Sarbanes-Oxley Act of</w:t>
        </w:r>
      </w:hyperlink>
      <w:r>
        <w:rPr>
          <w:rFonts w:ascii="Arial" w:cs="Arial" w:eastAsia="Arial" w:hAnsi="Arial"/>
          <w:sz w:val="16"/>
          <w:szCs w:val="16"/>
          <w:u w:val="single" w:color="auto"/>
          <w:color w:val="0000FF"/>
        </w:rPr>
        <w:t xml:space="preserve"> </w:t>
      </w:r>
      <w:hyperlink w:anchor="page74">
        <w:r>
          <w:rPr>
            <w:rFonts w:ascii="Arial" w:cs="Arial" w:eastAsia="Arial" w:hAnsi="Arial"/>
            <w:sz w:val="16"/>
            <w:szCs w:val="16"/>
            <w:u w:val="single" w:color="auto"/>
            <w:color w:val="0000FF"/>
          </w:rPr>
          <w:t>2002</w:t>
        </w:r>
      </w:hyperlink>
    </w:p>
    <w:p>
      <w:pPr>
        <w:spacing w:after="0" w:line="39" w:lineRule="exact"/>
        <w:rPr>
          <w:rFonts w:ascii="Arial" w:cs="Arial" w:eastAsia="Arial" w:hAnsi="Arial"/>
          <w:sz w:val="16"/>
          <w:szCs w:val="16"/>
          <w:u w:val="single" w:color="auto"/>
          <w:color w:val="0000FF"/>
        </w:rPr>
      </w:pPr>
    </w:p>
    <w:p>
      <w:pPr>
        <w:ind w:left="1080" w:right="60" w:hanging="490"/>
        <w:spacing w:after="0" w:line="253"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75">
        <w:r>
          <w:rPr>
            <w:rFonts w:ascii="Arial" w:cs="Arial" w:eastAsia="Arial" w:hAnsi="Arial"/>
            <w:sz w:val="16"/>
            <w:szCs w:val="16"/>
            <w:u w:val="single" w:color="auto"/>
            <w:color w:val="0000FF"/>
          </w:rPr>
          <w:t>Certification of the Principal Financial Officer pursuant to Rules 13a-14(a) and 15d-14(a)</w:t>
        </w:r>
      </w:hyperlink>
      <w:r>
        <w:rPr>
          <w:rFonts w:ascii="Arial" w:cs="Arial" w:eastAsia="Arial" w:hAnsi="Arial"/>
          <w:sz w:val="16"/>
          <w:szCs w:val="16"/>
          <w:u w:val="single" w:color="auto"/>
          <w:color w:val="0000FF"/>
        </w:rPr>
        <w:t xml:space="preserve"> </w:t>
      </w:r>
      <w:hyperlink w:anchor="page75">
        <w:r>
          <w:rPr>
            <w:rFonts w:ascii="Arial" w:cs="Arial" w:eastAsia="Arial" w:hAnsi="Arial"/>
            <w:sz w:val="16"/>
            <w:szCs w:val="16"/>
            <w:u w:val="single" w:color="auto"/>
            <w:color w:val="0000FF"/>
          </w:rPr>
          <w:t>under the Exchange Act, as adopted pursuant to Section 302 of the Sarbanes-Oxley Act of</w:t>
        </w:r>
      </w:hyperlink>
      <w:r>
        <w:rPr>
          <w:rFonts w:ascii="Arial" w:cs="Arial" w:eastAsia="Arial" w:hAnsi="Arial"/>
          <w:sz w:val="16"/>
          <w:szCs w:val="16"/>
          <w:u w:val="single" w:color="auto"/>
          <w:color w:val="0000FF"/>
        </w:rPr>
        <w:t xml:space="preserve"> </w:t>
      </w:r>
      <w:hyperlink w:anchor="page75">
        <w:r>
          <w:rPr>
            <w:rFonts w:ascii="Arial" w:cs="Arial" w:eastAsia="Arial" w:hAnsi="Arial"/>
            <w:sz w:val="16"/>
            <w:szCs w:val="16"/>
            <w:u w:val="single" w:color="auto"/>
            <w:color w:val="0000FF"/>
          </w:rPr>
          <w:t>2002</w:t>
        </w:r>
      </w:hyperlink>
    </w:p>
    <w:p>
      <w:pPr>
        <w:spacing w:after="0" w:line="39" w:lineRule="exact"/>
        <w:rPr>
          <w:rFonts w:ascii="Arial" w:cs="Arial" w:eastAsia="Arial" w:hAnsi="Arial"/>
          <w:sz w:val="16"/>
          <w:szCs w:val="16"/>
          <w:u w:val="single" w:color="auto"/>
          <w:color w:val="0000FF"/>
        </w:rPr>
      </w:pPr>
    </w:p>
    <w:p>
      <w:pPr>
        <w:ind w:left="520"/>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76">
        <w:r>
          <w:rPr>
            <w:rFonts w:ascii="Arial" w:cs="Arial" w:eastAsia="Arial" w:hAnsi="Arial"/>
            <w:sz w:val="16"/>
            <w:szCs w:val="16"/>
            <w:u w:val="single" w:color="auto"/>
            <w:color w:val="0000FF"/>
          </w:rPr>
          <w:t>Certification of the Principal Executive Officer and the Principal Financial Officer pursuant to</w:t>
        </w:r>
      </w:hyperlink>
    </w:p>
    <w:p>
      <w:pPr>
        <w:spacing w:after="0" w:line="5" w:lineRule="exact"/>
        <w:rPr>
          <w:rFonts w:ascii="Arial" w:cs="Arial" w:eastAsia="Arial" w:hAnsi="Arial"/>
          <w:sz w:val="16"/>
          <w:szCs w:val="16"/>
          <w:u w:val="single" w:color="auto"/>
          <w:color w:val="0000FF"/>
        </w:rPr>
      </w:pPr>
    </w:p>
    <w:p>
      <w:pPr>
        <w:ind w:left="108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18 U.S.C. Section 1350, as adopted pursuant to Section 906 of the Sarbanes-Oxley Act of</w:t>
        </w:r>
      </w:hyperlink>
    </w:p>
    <w:p>
      <w:pPr>
        <w:spacing w:after="0" w:line="5" w:lineRule="exact"/>
        <w:rPr>
          <w:rFonts w:ascii="Arial" w:cs="Arial" w:eastAsia="Arial" w:hAnsi="Arial"/>
          <w:sz w:val="16"/>
          <w:szCs w:val="16"/>
          <w:u w:val="single" w:color="auto"/>
          <w:color w:val="0000FF"/>
        </w:rPr>
      </w:pPr>
    </w:p>
    <w:p>
      <w:pPr>
        <w:ind w:left="108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80"/>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rFonts w:ascii="Arial" w:cs="Arial" w:eastAsia="Arial" w:hAnsi="Arial"/>
          <w:sz w:val="16"/>
          <w:szCs w:val="16"/>
          <w:u w:val="single" w:color="auto"/>
          <w:color w:val="0000FF"/>
        </w:rPr>
      </w:pPr>
    </w:p>
    <w:p>
      <w:pPr>
        <w:ind w:right="80"/>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4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437" w:lineRule="exact"/>
        <w:rPr>
          <w:rFonts w:ascii="Arial" w:cs="Arial" w:eastAsia="Arial" w:hAnsi="Arial"/>
          <w:sz w:val="16"/>
          <w:szCs w:val="16"/>
          <w:u w:val="single" w:color="auto"/>
          <w:color w:val="0000FF"/>
        </w:rPr>
      </w:pPr>
    </w:p>
    <w:p>
      <w:pPr>
        <w:sectPr>
          <w:pgSz w:w="11900" w:h="16838" w:orient="portrait"/>
          <w:cols w:equalWidth="0" w:num="2">
            <w:col w:w="7640" w:space="280"/>
            <w:col w:w="3500"/>
          </w:cols>
          <w:pgMar w:left="240" w:top="140" w:right="239" w:bottom="1440" w:gutter="0" w:footer="0" w:header="0"/>
          <w:type w:val="continuous"/>
        </w:sectPr>
      </w:pPr>
    </w:p>
    <w:p>
      <w:pPr>
        <w:ind w:left="1080" w:right="3860" w:hanging="760"/>
        <w:spacing w:after="0" w:line="260" w:lineRule="auto"/>
        <w:tabs>
          <w:tab w:leader="none" w:pos="1060" w:val="left"/>
        </w:tabs>
        <w:rPr>
          <w:sz w:val="20"/>
          <w:szCs w:val="20"/>
          <w:color w:val="auto"/>
        </w:rPr>
      </w:pPr>
      <w:r>
        <w:rPr>
          <w:rFonts w:ascii="Arial" w:cs="Arial" w:eastAsia="Arial" w:hAnsi="Arial"/>
          <w:sz w:val="16"/>
          <w:szCs w:val="16"/>
          <w:color w:val="auto"/>
        </w:rPr>
        <w:t>101.INS</w:t>
        <w:tab/>
        <w:t>XBRL Instance Document - the instance document does not appear in the Interactive Data File because its XBRL tags are embedded within the inline XBRL document</w:t>
      </w:r>
    </w:p>
    <w:p>
      <w:pPr>
        <w:sectPr>
          <w:pgSz w:w="11900" w:h="16838" w:orient="portrait"/>
          <w:cols w:equalWidth="0" w:num="1">
            <w:col w:w="11420"/>
          </w:cols>
          <w:pgMar w:left="240" w:top="140" w:right="239" w:bottom="1440" w:gutter="0" w:footer="0" w:header="0"/>
          <w:type w:val="continuous"/>
        </w:sectPr>
      </w:pPr>
    </w:p>
    <w:p>
      <w:pPr>
        <w:spacing w:after="0" w:line="34"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6"/>
          <w:szCs w:val="16"/>
          <w:color w:val="auto"/>
        </w:rPr>
        <w:t>101.SCH</w:t>
      </w:r>
    </w:p>
    <w:p>
      <w:pPr>
        <w:spacing w:after="0" w:line="86"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6"/>
          <w:szCs w:val="16"/>
          <w:color w:val="auto"/>
        </w:rPr>
        <w:t>101.CAL</w:t>
      </w:r>
    </w:p>
    <w:p>
      <w:pPr>
        <w:spacing w:after="0" w:line="86"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6"/>
          <w:szCs w:val="16"/>
          <w:color w:val="auto"/>
        </w:rPr>
        <w:t>101.DEF</w:t>
      </w:r>
    </w:p>
    <w:p>
      <w:pPr>
        <w:spacing w:after="0" w:line="86"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6"/>
          <w:szCs w:val="16"/>
          <w:color w:val="auto"/>
        </w:rPr>
        <w:t>101.LAB</w:t>
      </w:r>
    </w:p>
    <w:p>
      <w:pPr>
        <w:spacing w:after="0" w:line="86"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6"/>
          <w:szCs w:val="16"/>
          <w:color w:val="auto"/>
        </w:rPr>
        <w:t>101.PRE</w:t>
      </w:r>
    </w:p>
    <w:p>
      <w:pPr>
        <w:spacing w:after="0" w:line="86"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6"/>
          <w:szCs w:val="16"/>
          <w:color w:val="auto"/>
        </w:rPr>
        <w:t>104</w:t>
      </w:r>
    </w:p>
    <w:p>
      <w:pPr>
        <w:spacing w:after="0" w:line="39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0"/>
          <w:szCs w:val="10"/>
          <w:color w:val="auto"/>
        </w:rPr>
        <w:t>________________</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4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59" w:lineRule="exact"/>
        <w:rPr>
          <w:rFonts w:ascii="Arial" w:cs="Arial" w:eastAsia="Arial" w:hAnsi="Arial"/>
          <w:sz w:val="16"/>
          <w:szCs w:val="16"/>
          <w:u w:val="single" w:color="auto"/>
          <w:color w:val="0000FF"/>
        </w:rPr>
      </w:pPr>
    </w:p>
    <w:p>
      <w:pPr>
        <w:ind w:right="4120"/>
        <w:spacing w:after="0" w:line="253" w:lineRule="auto"/>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130" w:lineRule="exact"/>
        <w:rPr>
          <w:rFonts w:ascii="Arial" w:cs="Arial" w:eastAsia="Arial" w:hAnsi="Arial"/>
          <w:sz w:val="16"/>
          <w:szCs w:val="16"/>
          <w:u w:val="single" w:color="auto"/>
          <w:color w:val="0000FF"/>
        </w:rPr>
      </w:pPr>
    </w:p>
    <w:p>
      <w:pPr>
        <w:sectPr>
          <w:pgSz w:w="11900" w:h="16838" w:orient="portrait"/>
          <w:cols w:equalWidth="0" w:num="2">
            <w:col w:w="900" w:space="180"/>
            <w:col w:w="10340"/>
          </w:cols>
          <w:pgMar w:left="240" w:top="140" w:right="239" w:bottom="1440" w:gutter="0" w:footer="0" w:header="0"/>
          <w:type w:val="continuous"/>
        </w:sectPr>
      </w:pPr>
    </w:p>
    <w:p>
      <w:pPr>
        <w:ind w:right="360" w:firstLine="332"/>
        <w:spacing w:after="0" w:line="256"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37"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0" w:right="239" w:bottom="1440" w:gutter="0" w:footer="0" w:header="0"/>
          <w:type w:val="continuous"/>
        </w:sectPr>
      </w:pPr>
    </w:p>
    <w:bookmarkStart w:id="63" w:name="page64"/>
    <w:bookmarkEnd w:id="6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720" w:type="dxa"/>
            <w:vAlign w:val="bottom"/>
            <w:gridSpan w:val="2"/>
          </w:tcPr>
          <w:p>
            <w:pPr>
              <w:ind w:left="120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60"/>
              <w:spacing w:after="0"/>
              <w:rPr>
                <w:sz w:val="20"/>
                <w:szCs w:val="20"/>
                <w:color w:val="auto"/>
              </w:rPr>
            </w:pPr>
            <w:r>
              <w:rPr>
                <w:rFonts w:ascii="Arial" w:cs="Arial" w:eastAsia="Arial" w:hAnsi="Arial"/>
                <w:sz w:val="18"/>
                <w:szCs w:val="18"/>
                <w:color w:val="auto"/>
              </w:rPr>
              <w:t>August 9, 2019</w:t>
            </w:r>
          </w:p>
        </w:tc>
        <w:tc>
          <w:tcPr>
            <w:tcW w:w="6720" w:type="dxa"/>
            <w:vAlign w:val="bottom"/>
            <w:gridSpan w:val="2"/>
          </w:tcPr>
          <w:p>
            <w:pPr>
              <w:ind w:left="1200"/>
              <w:spacing w:after="0"/>
              <w:rPr>
                <w:sz w:val="20"/>
                <w:szCs w:val="20"/>
                <w:color w:val="auto"/>
              </w:rPr>
            </w:pPr>
            <w:r>
              <w:rPr>
                <w:rFonts w:ascii="Arial" w:cs="Arial" w:eastAsia="Arial" w:hAnsi="Arial"/>
                <w:sz w:val="18"/>
                <w:szCs w:val="18"/>
                <w:color w:val="auto"/>
              </w:rPr>
              <w:t>By: /s/ Amit Yoran</w:t>
            </w:r>
          </w:p>
        </w:tc>
      </w:tr>
      <w:tr>
        <w:trPr>
          <w:trHeight w:val="243"/>
        </w:trPr>
        <w:tc>
          <w:tcPr>
            <w:tcW w:w="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60"/>
              <w:spacing w:after="0"/>
              <w:rPr>
                <w:sz w:val="20"/>
                <w:szCs w:val="20"/>
                <w:color w:val="auto"/>
              </w:rPr>
            </w:pPr>
            <w:r>
              <w:rPr>
                <w:rFonts w:ascii="Arial" w:cs="Arial" w:eastAsia="Arial" w:hAnsi="Arial"/>
                <w:sz w:val="18"/>
                <w:szCs w:val="18"/>
                <w:color w:val="auto"/>
              </w:rPr>
              <w:t>August 9, 2019</w:t>
            </w:r>
          </w:p>
        </w:tc>
        <w:tc>
          <w:tcPr>
            <w:tcW w:w="6720" w:type="dxa"/>
            <w:vAlign w:val="bottom"/>
            <w:gridSpan w:val="2"/>
          </w:tcPr>
          <w:p>
            <w:pPr>
              <w:ind w:left="120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905"/>
        </w:trPr>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720" w:type="dxa"/>
            <w:vAlign w:val="bottom"/>
            <w:gridSpan w:val="2"/>
          </w:tcPr>
          <w:p>
            <w:pPr>
              <w:jc w:val="right"/>
              <w:ind w:right="383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00"/>
          </w:cols>
          <w:pgMar w:left="240" w:top="140" w:right="4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RESTRICTED STOCK UNIT GRANT NOTICE</w:t>
      </w:r>
    </w:p>
    <w:p>
      <w:pPr>
        <w:spacing w:after="0" w:line="3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(2018 EQUITY INCENTIVE PLAN)</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Tenable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awards to Participant a Restricted Stock Unit Award for the number of shares of the Company’s Common Stock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set forth below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of the terms and conditions as set forth in this notice of grant (this “</w:t>
      </w:r>
      <w:r>
        <w:rPr>
          <w:rFonts w:ascii="Arial" w:cs="Arial" w:eastAsia="Arial" w:hAnsi="Arial"/>
          <w:sz w:val="18"/>
          <w:szCs w:val="18"/>
          <w:b w:val="1"/>
          <w:bCs w:val="1"/>
          <w:i w:val="1"/>
          <w:iCs w:val="1"/>
          <w:color w:val="auto"/>
        </w:rPr>
        <w:t>Restricted Stock Unit Grant Notice</w:t>
      </w:r>
      <w:r>
        <w:rPr>
          <w:rFonts w:ascii="Arial" w:cs="Arial" w:eastAsia="Arial" w:hAnsi="Arial"/>
          <w:sz w:val="18"/>
          <w:szCs w:val="18"/>
          <w:color w:val="auto"/>
        </w:rPr>
        <w:t>”), and in the Plan and the Restricted Stock Unit Award Agreement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3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7"/>
          <w:szCs w:val="17"/>
          <w:color w:val="auto"/>
        </w:rPr>
        <w:t>Provided that the Participant has not undergone a Termination prior to the applicable vesting date,</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[_____________________________];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the last such yearly installment, the number of</w:t>
      </w:r>
    </w:p>
    <w:p>
      <w:pPr>
        <w:spacing w:after="0" w:line="9" w:lineRule="exact"/>
        <w:rPr>
          <w:sz w:val="20"/>
          <w:szCs w:val="20"/>
          <w:color w:val="auto"/>
        </w:rPr>
      </w:pPr>
    </w:p>
    <w:p>
      <w:pPr>
        <w:ind w:left="1960" w:right="540"/>
        <w:spacing w:after="0" w:line="262" w:lineRule="auto"/>
        <w:rPr>
          <w:sz w:val="20"/>
          <w:szCs w:val="20"/>
          <w:color w:val="auto"/>
        </w:rPr>
      </w:pPr>
      <w:r>
        <w:rPr>
          <w:rFonts w:ascii="Arial" w:cs="Arial" w:eastAsia="Arial" w:hAnsi="Arial"/>
          <w:sz w:val="18"/>
          <w:szCs w:val="18"/>
          <w:color w:val="auto"/>
        </w:rPr>
        <w:t>Restricted Stock Units that vest in the installment shall be such that the Participant will be fully vested in the total number of Restricted Stock Units listed above as of the applicable yearly anniversary.</w:t>
      </w:r>
    </w:p>
    <w:p>
      <w:pPr>
        <w:spacing w:after="0" w:line="174" w:lineRule="exact"/>
        <w:rPr>
          <w:sz w:val="20"/>
          <w:szCs w:val="20"/>
          <w:color w:val="auto"/>
        </w:rPr>
      </w:pPr>
    </w:p>
    <w:p>
      <w:pPr>
        <w:jc w:val="both"/>
        <w:ind w:left="1960" w:hanging="1944"/>
        <w:spacing w:after="0" w:line="256" w:lineRule="auto"/>
        <w:tabs>
          <w:tab w:leader="none" w:pos="19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Subject to any Capitalization Adjustment, one share of Common Stock (or its cash equivalent, at the discretion of the Company) will be issued for each Restricted Stock Unit that vests at the time set forth in Section 6 of the Award Agreement.</w:t>
      </w: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Participant acknowledges receipt of, and understands and agrees to, this Restricted Stock Unit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Award Agreement and the Plan. Participant acknowledges and agrees that this Restricted Stock Unit Grant Notice and the Award Agreement may not be modified, amended, or revised except as provided in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agreement entered into between the Company or any Affiliate of the Company and Participant specifying the terms that should govern this Award upon the terms and conditions set forth therein. To the extent Participant has entered into any such written agreement specifying the terms that should govern this Award, and the terms under such agreement are more favorable to Participant than the terms set forth in this Restricted Stock Unit Grant Notice or the Award Agreement, then the more favorable terms of such other agreement will supersede and be deemed to amend and modify the terms set forth in this Restricted Stock Unit Grant Notice and the Award Agreement.</w:t>
      </w:r>
    </w:p>
    <w:p>
      <w:pPr>
        <w:sectPr>
          <w:pgSz w:w="11900" w:h="16838" w:orient="portrait"/>
          <w:cols w:equalWidth="0" w:num="1">
            <w:col w:w="11420"/>
          </w:cols>
          <w:pgMar w:left="240" w:top="576" w:right="239" w:bottom="1440" w:gutter="0" w:footer="0" w:header="0"/>
        </w:sectPr>
      </w:pPr>
    </w:p>
    <w:bookmarkStart w:id="65" w:name="page66"/>
    <w:bookmarkEnd w:id="65"/>
    <w:p>
      <w:pPr>
        <w:jc w:val="both"/>
        <w:spacing w:after="0" w:line="254" w:lineRule="auto"/>
        <w:rPr>
          <w:sz w:val="20"/>
          <w:szCs w:val="20"/>
          <w:color w:val="auto"/>
        </w:rPr>
      </w:pPr>
      <w:r>
        <w:rPr>
          <w:rFonts w:ascii="Arial" w:cs="Arial" w:eastAsia="Arial" w:hAnsi="Arial"/>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and related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TENABLE HOLDINGS, INC.</w:t>
            </w:r>
          </w:p>
        </w:tc>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108"/>
        </w:trPr>
        <w:tc>
          <w:tcPr>
            <w:tcW w:w="608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4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820" w:type="dxa"/>
            <w:vAlign w:val="bottom"/>
          </w:tcPr>
          <w:p>
            <w:pPr>
              <w:ind w:left="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260" w:type="dxa"/>
            <w:vAlign w:val="bottom"/>
            <w:gridSpan w:val="2"/>
          </w:tcPr>
          <w:p>
            <w:pPr>
              <w:ind w:left="1960"/>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21"/>
                <w:szCs w:val="21"/>
                <w:color w:val="auto"/>
              </w:rPr>
            </w:pPr>
          </w:p>
        </w:tc>
        <w:tc>
          <w:tcPr>
            <w:tcW w:w="4680" w:type="dxa"/>
            <w:vAlign w:val="bottom"/>
          </w:tcPr>
          <w:p>
            <w:pPr>
              <w:ind w:left="162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601"/>
        </w:trPr>
        <w:tc>
          <w:tcPr>
            <w:tcW w:w="8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20" w:type="dxa"/>
            <w:vAlign w:val="bottom"/>
          </w:tcPr>
          <w:p>
            <w:pPr>
              <w:ind w:left="4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Award Agreement and 2018 Equity Incentive Plan</w:t>
            </w:r>
          </w:p>
        </w:tc>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Tenable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207" w:lineRule="exact"/>
        <w:rPr>
          <w:sz w:val="20"/>
          <w:szCs w:val="20"/>
          <w:color w:val="auto"/>
        </w:rPr>
      </w:pPr>
    </w:p>
    <w:p>
      <w:pPr>
        <w:jc w:val="both"/>
        <w:ind w:firstLine="656"/>
        <w:spacing w:after="0" w:line="310" w:lineRule="auto"/>
        <w:tabs>
          <w:tab w:leader="none" w:pos="1447"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THE AWARD. </w:t>
      </w:r>
      <w:r>
        <w:rPr>
          <w:rFonts w:ascii="Arial" w:cs="Arial" w:eastAsia="Arial" w:hAnsi="Arial"/>
          <w:sz w:val="18"/>
          <w:szCs w:val="18"/>
          <w:color w:val="auto"/>
        </w:rPr>
        <w:t>This Award represents the right to be issued on a future date one (1) share of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Restricted Stock Unit that vests on the applicable vesting date(s) (subject to any adjustment under Section 3 below) as indicated in the</w:t>
      </w:r>
    </w:p>
    <w:p>
      <w:pPr>
        <w:jc w:val="both"/>
        <w:spacing w:after="0" w:line="299" w:lineRule="auto"/>
        <w:rPr>
          <w:rFonts w:ascii="Arial" w:cs="Arial" w:eastAsia="Arial" w:hAnsi="Arial"/>
          <w:sz w:val="18"/>
          <w:szCs w:val="18"/>
          <w:b w:val="1"/>
          <w:bCs w:val="1"/>
          <w:color w:val="auto"/>
        </w:rPr>
      </w:pPr>
      <w:r>
        <w:rPr>
          <w:rFonts w:ascii="Arial" w:cs="Arial" w:eastAsia="Arial" w:hAnsi="Arial"/>
          <w:sz w:val="18"/>
          <w:szCs w:val="18"/>
          <w:color w:val="auto"/>
        </w:rPr>
        <w:t>Grant Notice. As of the Date of Grant, the Company will credit to a bookkeeping account maintained by the Company for your benefit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spacing w:after="0" w:line="186" w:lineRule="exact"/>
        <w:rPr>
          <w:rFonts w:ascii="Arial" w:cs="Arial" w:eastAsia="Arial" w:hAnsi="Arial"/>
          <w:sz w:val="18"/>
          <w:szCs w:val="18"/>
          <w:b w:val="1"/>
          <w:bCs w:val="1"/>
          <w:color w:val="auto"/>
        </w:rPr>
      </w:pPr>
    </w:p>
    <w:p>
      <w:pPr>
        <w:jc w:val="both"/>
        <w:ind w:firstLine="656"/>
        <w:spacing w:after="0" w:line="299" w:lineRule="auto"/>
        <w:tabs>
          <w:tab w:leader="none" w:pos="1447"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if at all, in accordance with the vesting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Grant Notice. Subject to the provisions of this Section 2 and the terms of any written agreement entered into between the Company or any Affiliate of the Company and you regarding accelerated vesting in certain circumstances,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 In addition, (i) if you remain in Continuous Service through the closing of a Change in Control and your unvested Restricted Stock Units upon the closing of the Change in Control are not continued, assumed or substituted for as permitted by Section 9(c) of the Plan in connection with a Change in Control, or if your Continuous Service terminates due to an involuntary termination by the Company without Cause or your required resignation at the request of the acquiring or successor entity in connection with the Change in Control at any time between the date a definitive agreement providing for a Change in Control is entered into and on or before the closing of a Change in Control (provided that such Change in Control closes and becomes effective (and the Common Stock underlying your Restricted Stock Units is issued) by no later than March 15 of the calendar year immediately following the calendar year in which the definitive agreement is entered into), then the remaining unvested Restricted Stock Units will become fully vested as of the closing of the Change in Control, or (ii) if your unvested Restricted Stock Units are continued, assumed or substituted for as permitted by Section 9(c) of the Plan in connection with a Change in Control and if at any time between the closing of a Change in Control and the date which is twelve</w:t>
      </w:r>
    </w:p>
    <w:p>
      <w:pPr>
        <w:spacing w:after="0" w:line="2" w:lineRule="exact"/>
        <w:rPr>
          <w:rFonts w:ascii="Arial" w:cs="Arial" w:eastAsia="Arial" w:hAnsi="Arial"/>
          <w:sz w:val="18"/>
          <w:szCs w:val="18"/>
          <w:b w:val="1"/>
          <w:bCs w:val="1"/>
          <w:color w:val="auto"/>
        </w:rPr>
      </w:pPr>
    </w:p>
    <w:p>
      <w:pPr>
        <w:jc w:val="both"/>
        <w:ind w:firstLine="8"/>
        <w:spacing w:after="0" w:line="299" w:lineRule="auto"/>
        <w:tabs>
          <w:tab w:leader="none" w:pos="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months after the closing of such Change in Control, your Continuous Service terminates due to an involuntary termination by the Company without Cause or your required resignation at the request of the acquiring or successor entity in connection with the Change in Control, then the remaining unvested Restricted Stock Units at that time will accelerate and be deemed to be vested in full upon such termination of Continuous Service. Furthermore, any remaining unvested Restricted Stock Units will vest in full upon the termination of your Continuous Service due to your death or Disability. In addition, notwithstanding the foregoing, the Restricted Stock Units shall be subject to the terms of any other written agreement entered into between the Company or any Affiliate of the Company and you regarding additional accelerated vesting in connection with certain terminations of service and/or transactions involving the Company or any Affiliate of the Company.</w:t>
      </w:r>
    </w:p>
    <w:p>
      <w:pPr>
        <w:sectPr>
          <w:pgSz w:w="11900" w:h="16838" w:orient="portrait"/>
          <w:cols w:equalWidth="0" w:num="1">
            <w:col w:w="11420"/>
          </w:cols>
          <w:pgMar w:left="240" w:top="360" w:right="239" w:bottom="1440" w:gutter="0" w:footer="0" w:header="0"/>
        </w:sectPr>
      </w:pPr>
    </w:p>
    <w:bookmarkStart w:id="67" w:name="page68"/>
    <w:bookmarkEnd w:id="67"/>
    <w:p>
      <w:pPr>
        <w:jc w:val="both"/>
        <w:ind w:firstLine="648"/>
        <w:spacing w:after="0" w:line="269" w:lineRule="auto"/>
        <w:rPr>
          <w:sz w:val="20"/>
          <w:szCs w:val="20"/>
          <w:color w:val="auto"/>
        </w:rPr>
      </w:pPr>
      <w:r>
        <w:rPr>
          <w:rFonts w:ascii="Arial" w:cs="Arial" w:eastAsia="Arial" w:hAnsi="Arial"/>
          <w:sz w:val="18"/>
          <w:szCs w:val="18"/>
          <w:color w:val="auto"/>
        </w:rPr>
        <w:t>For this purpose,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 ascribed to such term in the Plan; provided, however, that if you have entered into any other written agreement with the Company or any of its Affiliates defining such term, the term “Cause” shall have the meaning set forth in such other written agreement.</w:t>
      </w:r>
    </w:p>
    <w:p>
      <w:pPr>
        <w:spacing w:after="0" w:line="195" w:lineRule="exact"/>
        <w:rPr>
          <w:sz w:val="20"/>
          <w:szCs w:val="20"/>
          <w:color w:val="auto"/>
        </w:rPr>
      </w:pPr>
    </w:p>
    <w:p>
      <w:pPr>
        <w:jc w:val="both"/>
        <w:ind w:firstLine="656"/>
        <w:spacing w:after="0" w:line="304" w:lineRule="auto"/>
        <w:tabs>
          <w:tab w:leader="none" w:pos="144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Restricted Stock Units subject to your Award may be adjusted from time to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82" w:lineRule="exact"/>
        <w:rPr>
          <w:rFonts w:ascii="Arial" w:cs="Arial" w:eastAsia="Arial" w:hAnsi="Arial"/>
          <w:sz w:val="18"/>
          <w:szCs w:val="18"/>
          <w:b w:val="1"/>
          <w:bCs w:val="1"/>
          <w:color w:val="auto"/>
        </w:rPr>
      </w:pPr>
    </w:p>
    <w:p>
      <w:pPr>
        <w:jc w:val="both"/>
        <w:ind w:firstLine="656"/>
        <w:spacing w:after="0" w:line="306" w:lineRule="auto"/>
        <w:tabs>
          <w:tab w:leader="none" w:pos="144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You may not be issued any Common Stock under your Award unless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79" w:lineRule="exact"/>
        <w:rPr>
          <w:rFonts w:ascii="Arial" w:cs="Arial" w:eastAsia="Arial" w:hAnsi="Arial"/>
          <w:sz w:val="18"/>
          <w:szCs w:val="18"/>
          <w:b w:val="1"/>
          <w:bCs w:val="1"/>
          <w:color w:val="auto"/>
        </w:rPr>
      </w:pPr>
    </w:p>
    <w:p>
      <w:pPr>
        <w:jc w:val="both"/>
        <w:ind w:firstLine="656"/>
        <w:spacing w:after="0" w:line="309" w:lineRule="auto"/>
        <w:tabs>
          <w:tab w:leader="none" w:pos="144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Prior to the time that shares of Common Stock have been delivered to you, you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49" w:lineRule="exact"/>
        <w:rPr>
          <w:rFonts w:ascii="Arial" w:cs="Arial" w:eastAsia="Arial" w:hAnsi="Arial"/>
          <w:sz w:val="18"/>
          <w:szCs w:val="18"/>
          <w:b w:val="1"/>
          <w:bCs w:val="1"/>
          <w:color w:val="auto"/>
        </w:rPr>
      </w:pPr>
    </w:p>
    <w:p>
      <w:pPr>
        <w:jc w:val="both"/>
        <w:ind w:firstLine="1305"/>
        <w:spacing w:after="0" w:line="259" w:lineRule="auto"/>
        <w:tabs>
          <w:tab w:leader="none" w:pos="1716"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w:t>
      </w:r>
      <w:r>
        <w:rPr>
          <w:rFonts w:ascii="Arial" w:cs="Arial" w:eastAsia="Arial" w:hAnsi="Arial"/>
          <w:sz w:val="18"/>
          <w:szCs w:val="18"/>
          <w:b w:val="1"/>
          <w:bCs w:val="1"/>
          <w:color w:val="auto"/>
        </w:rPr>
        <w:t xml:space="preserve"> </w:t>
      </w:r>
      <w:r>
        <w:rPr>
          <w:rFonts w:ascii="Arial" w:cs="Arial" w:eastAsia="Arial" w:hAnsi="Arial"/>
          <w:sz w:val="18"/>
          <w:szCs w:val="18"/>
          <w:color w:val="auto"/>
        </w:rPr>
        <w:t>will cease (subject to any accelerated vesting upon your death in accordance with Section 2 of this Agreement) and your executor or administrator of your estate shall be entitled to receive, on behalf of your estate, any Common Stock or other consideration that vested but was not issued before your death (including with respect to any portion of the Award that vests upon your death in accordance with Section 2 of this Agreement).</w:t>
      </w:r>
    </w:p>
    <w:p>
      <w:pPr>
        <w:spacing w:after="0" w:line="179" w:lineRule="exact"/>
        <w:rPr>
          <w:rFonts w:ascii="Arial" w:cs="Arial" w:eastAsia="Arial" w:hAnsi="Arial"/>
          <w:sz w:val="18"/>
          <w:szCs w:val="18"/>
          <w:color w:val="auto"/>
        </w:rPr>
      </w:pPr>
    </w:p>
    <w:p>
      <w:pPr>
        <w:jc w:val="both"/>
        <w:ind w:firstLine="1305"/>
        <w:spacing w:after="0" w:line="256" w:lineRule="auto"/>
        <w:tabs>
          <w:tab w:leader="none" w:pos="1811"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DATE OF ISSUANCE.</w:t>
      </w:r>
    </w:p>
    <w:p>
      <w:pPr>
        <w:spacing w:after="0" w:line="247" w:lineRule="exact"/>
        <w:rPr>
          <w:rFonts w:ascii="Arial" w:cs="Arial" w:eastAsia="Arial" w:hAnsi="Arial"/>
          <w:sz w:val="18"/>
          <w:szCs w:val="18"/>
          <w:b w:val="1"/>
          <w:bCs w:val="1"/>
          <w:color w:val="auto"/>
        </w:rPr>
      </w:pPr>
    </w:p>
    <w:p>
      <w:pPr>
        <w:jc w:val="both"/>
        <w:ind w:firstLine="1305"/>
        <w:spacing w:after="0" w:line="252" w:lineRule="auto"/>
        <w:tabs>
          <w:tab w:leader="none" w:pos="17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issuance of shares in respect of the Restricted Stock Units is intended to comply with Treasury Regulations Section 1.409A-1(b)(4) and will be construed and administered in such a manner. Subject to the satisfaction of any federal, state, local and foreign tax withholding obligations of the Company or any Affiliate which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ectPr>
          <w:pgSz w:w="11900" w:h="16838" w:orient="portrait"/>
          <w:cols w:equalWidth="0" w:num="1">
            <w:col w:w="11420"/>
          </w:cols>
          <w:pgMar w:left="240" w:top="360" w:right="239" w:bottom="1440" w:gutter="0" w:footer="0" w:header="0"/>
        </w:sectPr>
      </w:pPr>
    </w:p>
    <w:bookmarkStart w:id="68" w:name="page69"/>
    <w:bookmarkEnd w:id="68"/>
    <w:p>
      <w:pPr>
        <w:ind w:firstLine="1305"/>
        <w:spacing w:after="0" w:line="262" w:lineRule="auto"/>
        <w:tabs>
          <w:tab w:leader="none" w:pos="17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Original Issuance Date falls on a date that is not a business day, delivery shall instead occur on the next following business day. In addition, if:</w:t>
      </w:r>
    </w:p>
    <w:p>
      <w:pPr>
        <w:spacing w:after="0" w:line="196" w:lineRule="exact"/>
        <w:rPr>
          <w:rFonts w:ascii="Arial" w:cs="Arial" w:eastAsia="Arial" w:hAnsi="Arial"/>
          <w:sz w:val="18"/>
          <w:szCs w:val="18"/>
          <w:color w:val="auto"/>
        </w:rPr>
      </w:pPr>
    </w:p>
    <w:p>
      <w:pPr>
        <w:jc w:val="both"/>
        <w:ind w:firstLine="1953"/>
        <w:spacing w:after="0" w:line="253" w:lineRule="auto"/>
        <w:tabs>
          <w:tab w:leader="none" w:pos="2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p>
    <w:p>
      <w:pPr>
        <w:spacing w:after="0" w:line="205" w:lineRule="exact"/>
        <w:rPr>
          <w:rFonts w:ascii="Arial" w:cs="Arial" w:eastAsia="Arial" w:hAnsi="Arial"/>
          <w:sz w:val="18"/>
          <w:szCs w:val="18"/>
          <w:color w:val="auto"/>
        </w:rPr>
      </w:pPr>
    </w:p>
    <w:p>
      <w:pPr>
        <w:jc w:val="both"/>
        <w:ind w:firstLine="1953"/>
        <w:spacing w:after="0" w:line="254" w:lineRule="auto"/>
        <w:tabs>
          <w:tab w:leader="none" w:pos="24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204" w:lineRule="exact"/>
        <w:rPr>
          <w:sz w:val="20"/>
          <w:szCs w:val="20"/>
          <w:color w:val="auto"/>
        </w:rPr>
      </w:pPr>
    </w:p>
    <w:p>
      <w:pPr>
        <w:jc w:val="both"/>
        <w:ind w:left="340" w:firstLine="648"/>
        <w:spacing w:after="0" w:line="252" w:lineRule="auto"/>
        <w:rPr>
          <w:sz w:val="20"/>
          <w:szCs w:val="20"/>
          <w:color w:val="auto"/>
        </w:rPr>
      </w:pP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8"/>
          <w:szCs w:val="18"/>
          <w:u w:val="single" w:color="auto"/>
          <w:color w:val="auto"/>
        </w:rPr>
        <w:t>if and only if</w:t>
      </w:r>
      <w:r>
        <w:rPr>
          <w:rFonts w:ascii="Arial" w:cs="Arial" w:eastAsia="Arial" w:hAnsi="Arial"/>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9"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3" w:lineRule="exact"/>
        <w:rPr>
          <w:sz w:val="20"/>
          <w:szCs w:val="20"/>
          <w:color w:val="auto"/>
        </w:rPr>
      </w:pPr>
    </w:p>
    <w:p>
      <w:pPr>
        <w:jc w:val="both"/>
        <w:ind w:right="20" w:firstLine="656"/>
        <w:spacing w:after="0" w:line="269" w:lineRule="auto"/>
        <w:tabs>
          <w:tab w:leader="none" w:pos="102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shall receive no benefit or adjustment to your Award with respect to any cash dividend, stock dividend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8" w:lineRule="exact"/>
        <w:rPr>
          <w:rFonts w:ascii="Arial" w:cs="Arial" w:eastAsia="Arial" w:hAnsi="Arial"/>
          <w:sz w:val="18"/>
          <w:szCs w:val="18"/>
          <w:b w:val="1"/>
          <w:bCs w:val="1"/>
          <w:color w:val="auto"/>
        </w:rPr>
      </w:pPr>
    </w:p>
    <w:p>
      <w:pPr>
        <w:ind w:firstLine="656"/>
        <w:spacing w:after="0" w:line="287" w:lineRule="auto"/>
        <w:tabs>
          <w:tab w:leader="none" w:pos="1079"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LEGENDS. </w:t>
      </w:r>
      <w:r>
        <w:rPr>
          <w:rFonts w:ascii="Arial" w:cs="Arial" w:eastAsia="Arial" w:hAnsi="Arial"/>
          <w:sz w:val="18"/>
          <w:szCs w:val="18"/>
          <w:color w:val="auto"/>
        </w:rPr>
        <w:t>The shares of Common Stock issued in respect of your Award shall be endorsed with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legends as determined by the Company.</w:t>
      </w:r>
    </w:p>
    <w:p>
      <w:pPr>
        <w:spacing w:after="0" w:line="153" w:lineRule="exact"/>
        <w:rPr>
          <w:rFonts w:ascii="Arial" w:cs="Arial" w:eastAsia="Arial" w:hAnsi="Arial"/>
          <w:sz w:val="18"/>
          <w:szCs w:val="18"/>
          <w:b w:val="1"/>
          <w:bCs w:val="1"/>
          <w:color w:val="auto"/>
        </w:rPr>
      </w:pPr>
    </w:p>
    <w:p>
      <w:pPr>
        <w:jc w:val="both"/>
        <w:ind w:firstLine="656"/>
        <w:spacing w:after="0" w:line="262" w:lineRule="auto"/>
        <w:tabs>
          <w:tab w:leader="none" w:pos="10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EXECUTION OF DOCUMENTS. </w:t>
      </w:r>
      <w:r>
        <w:rPr>
          <w:rFonts w:ascii="Arial" w:cs="Arial" w:eastAsia="Arial" w:hAnsi="Arial"/>
          <w:sz w:val="18"/>
          <w:szCs w:val="18"/>
          <w:color w:val="auto"/>
        </w:rPr>
        <w:t>You hereby acknowledge and agree that the manner selected by the Company by which you</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76" w:lineRule="exact"/>
        <w:rPr>
          <w:rFonts w:ascii="Arial" w:cs="Arial" w:eastAsia="Arial" w:hAnsi="Arial"/>
          <w:sz w:val="18"/>
          <w:szCs w:val="18"/>
          <w:b w:val="1"/>
          <w:bCs w:val="1"/>
          <w:color w:val="auto"/>
        </w:rPr>
      </w:pPr>
    </w:p>
    <w:p>
      <w:pPr>
        <w:ind w:left="1100" w:hanging="444"/>
        <w:spacing w:after="0"/>
        <w:tabs>
          <w:tab w:leader="none" w:pos="11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AWARD NOT A SERVICE CONTRACT</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firstLine="1305"/>
        <w:spacing w:after="0" w:line="252" w:lineRule="auto"/>
        <w:tabs>
          <w:tab w:leader="none" w:pos="17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service or affiliation; (iii) confer any right or benefit under this Agreement or the Plan unless such right or benefit has specifically</w:t>
      </w:r>
    </w:p>
    <w:p>
      <w:pPr>
        <w:sectPr>
          <w:pgSz w:w="11900" w:h="16838" w:orient="portrait"/>
          <w:cols w:equalWidth="0" w:num="1">
            <w:col w:w="11420"/>
          </w:cols>
          <w:pgMar w:left="240" w:top="382" w:right="239" w:bottom="1440" w:gutter="0" w:footer="0" w:header="0"/>
        </w:sectPr>
      </w:pPr>
    </w:p>
    <w:bookmarkStart w:id="69" w:name="page70"/>
    <w:bookmarkEnd w:id="69"/>
    <w:p>
      <w:pPr>
        <w:spacing w:after="0" w:line="262" w:lineRule="auto"/>
        <w:rPr>
          <w:sz w:val="20"/>
          <w:szCs w:val="20"/>
          <w:color w:val="auto"/>
        </w:rPr>
      </w:pPr>
      <w:r>
        <w:rPr>
          <w:rFonts w:ascii="Arial" w:cs="Arial" w:eastAsia="Arial" w:hAnsi="Arial"/>
          <w:sz w:val="18"/>
          <w:szCs w:val="18"/>
          <w:color w:val="auto"/>
        </w:rPr>
        <w:t>accrued under the terms of this Agreement or Plan; or (iv) deprive the Company of the right to terminate you at will and without regard to any future vesting opportunity that you may have.</w:t>
      </w:r>
    </w:p>
    <w:p>
      <w:pPr>
        <w:spacing w:after="0" w:line="196" w:lineRule="exact"/>
        <w:rPr>
          <w:sz w:val="20"/>
          <w:szCs w:val="20"/>
          <w:color w:val="auto"/>
        </w:rPr>
      </w:pPr>
    </w:p>
    <w:p>
      <w:pPr>
        <w:jc w:val="both"/>
        <w:ind w:firstLine="1305"/>
        <w:spacing w:after="0" w:line="251" w:lineRule="auto"/>
        <w:tabs>
          <w:tab w:leader="none" w:pos="1806" w:val="left"/>
        </w:tabs>
        <w:numPr>
          <w:ilvl w:val="1"/>
          <w:numId w:val="36"/>
        </w:numPr>
        <w:rPr>
          <w:rFonts w:ascii="Arial" w:cs="Arial" w:eastAsia="Arial" w:hAnsi="Arial"/>
          <w:sz w:val="18"/>
          <w:szCs w:val="18"/>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or an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director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16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Company has no duty or obligation to minimize the tax consequences to you of this Award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79" w:lineRule="exact"/>
        <w:rPr>
          <w:rFonts w:ascii="Arial" w:cs="Arial" w:eastAsia="Arial" w:hAnsi="Arial"/>
          <w:sz w:val="18"/>
          <w:szCs w:val="18"/>
          <w:b w:val="1"/>
          <w:bCs w:val="1"/>
          <w:color w:val="auto"/>
        </w:rPr>
      </w:pPr>
    </w:p>
    <w:p>
      <w:pPr>
        <w:jc w:val="both"/>
        <w:ind w:firstLine="656"/>
        <w:spacing w:after="0" w:line="257" w:lineRule="auto"/>
        <w:tabs>
          <w:tab w:leader="none" w:pos="109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 unsecured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2" w:lineRule="exact"/>
        <w:rPr>
          <w:rFonts w:ascii="Arial" w:cs="Arial" w:eastAsia="Arial" w:hAnsi="Arial"/>
          <w:sz w:val="18"/>
          <w:szCs w:val="18"/>
          <w:b w:val="1"/>
          <w:bCs w:val="1"/>
          <w:color w:val="auto"/>
        </w:rPr>
      </w:pPr>
    </w:p>
    <w:p>
      <w:pPr>
        <w:jc w:val="both"/>
        <w:ind w:firstLine="656"/>
        <w:spacing w:after="0" w:line="256" w:lineRule="auto"/>
        <w:tabs>
          <w:tab w:leader="none" w:pos="11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request required or permitted hereunder shall be given in writing (including electronically)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83" w:lineRule="exact"/>
        <w:rPr>
          <w:rFonts w:ascii="Arial" w:cs="Arial" w:eastAsia="Arial" w:hAnsi="Arial"/>
          <w:sz w:val="18"/>
          <w:szCs w:val="18"/>
          <w:b w:val="1"/>
          <w:bCs w:val="1"/>
          <w:color w:val="auto"/>
        </w:rPr>
      </w:pPr>
    </w:p>
    <w:p>
      <w:pPr>
        <w:ind w:firstLine="656"/>
        <w:spacing w:after="0" w:line="287" w:lineRule="auto"/>
        <w:tabs>
          <w:tab w:leader="none" w:pos="119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in this Agreement are inserted for convenience only and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Agreement or to affect the meaning of this Agreement.</w:t>
      </w:r>
    </w:p>
    <w:p>
      <w:pPr>
        <w:spacing w:after="0" w:line="153" w:lineRule="exact"/>
        <w:rPr>
          <w:rFonts w:ascii="Arial" w:cs="Arial" w:eastAsia="Arial" w:hAnsi="Arial"/>
          <w:sz w:val="18"/>
          <w:szCs w:val="18"/>
          <w:b w:val="1"/>
          <w:bCs w:val="1"/>
          <w:color w:val="auto"/>
        </w:rPr>
      </w:pPr>
    </w:p>
    <w:p>
      <w:pPr>
        <w:ind w:left="1100" w:hanging="444"/>
        <w:spacing w:after="0"/>
        <w:tabs>
          <w:tab w:leader="none" w:pos="11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firstLine="1305"/>
        <w:spacing w:after="0" w:line="256" w:lineRule="auto"/>
        <w:tabs>
          <w:tab w:leader="none" w:pos="17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ectPr>
          <w:pgSz w:w="11900" w:h="16838" w:orient="portrait"/>
          <w:cols w:equalWidth="0" w:num="1">
            <w:col w:w="11420"/>
          </w:cols>
          <w:pgMar w:left="240" w:top="382" w:right="239" w:bottom="1440" w:gutter="0" w:footer="0" w:header="0"/>
        </w:sectPr>
      </w:pPr>
    </w:p>
    <w:bookmarkStart w:id="70" w:name="page71"/>
    <w:bookmarkEnd w:id="70"/>
    <w:p>
      <w:pPr>
        <w:ind w:left="-656" w:firstLine="1305"/>
        <w:spacing w:after="0" w:line="262" w:lineRule="auto"/>
        <w:tabs>
          <w:tab w:leader="none" w:pos="1057" w:val="left"/>
        </w:tabs>
        <w:numPr>
          <w:ilvl w:val="1"/>
          <w:numId w:val="38"/>
        </w:numPr>
        <w:rPr>
          <w:rFonts w:ascii="Arial" w:cs="Arial" w:eastAsia="Arial" w:hAnsi="Arial"/>
          <w:sz w:val="18"/>
          <w:szCs w:val="18"/>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196" w:lineRule="exact"/>
        <w:rPr>
          <w:rFonts w:ascii="Arial" w:cs="Arial" w:eastAsia="Arial" w:hAnsi="Arial"/>
          <w:sz w:val="18"/>
          <w:szCs w:val="18"/>
          <w:color w:val="auto"/>
        </w:rPr>
      </w:pPr>
    </w:p>
    <w:p>
      <w:pPr>
        <w:ind w:left="-656" w:firstLine="1305"/>
        <w:spacing w:after="0" w:line="262" w:lineRule="auto"/>
        <w:tabs>
          <w:tab w:leader="none" w:pos="11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96" w:lineRule="exact"/>
        <w:rPr>
          <w:rFonts w:ascii="Arial" w:cs="Arial" w:eastAsia="Arial" w:hAnsi="Arial"/>
          <w:sz w:val="18"/>
          <w:szCs w:val="18"/>
          <w:color w:val="auto"/>
        </w:rPr>
      </w:pPr>
    </w:p>
    <w:p>
      <w:pPr>
        <w:ind w:left="-656" w:firstLine="1305"/>
        <w:spacing w:after="0" w:line="262" w:lineRule="auto"/>
        <w:tabs>
          <w:tab w:leader="none" w:pos="106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shall be subject to all applicable laws, rules, and regulations, and to such approvals by any governmental agencies or national securities exchanges as may be required.</w:t>
      </w:r>
    </w:p>
    <w:p>
      <w:pPr>
        <w:spacing w:after="0" w:line="196" w:lineRule="exact"/>
        <w:rPr>
          <w:rFonts w:ascii="Arial" w:cs="Arial" w:eastAsia="Arial" w:hAnsi="Arial"/>
          <w:sz w:val="18"/>
          <w:szCs w:val="18"/>
          <w:color w:val="auto"/>
        </w:rPr>
      </w:pPr>
    </w:p>
    <w:p>
      <w:pPr>
        <w:jc w:val="both"/>
        <w:ind w:left="-656" w:firstLine="1305"/>
        <w:spacing w:after="0" w:line="256" w:lineRule="auto"/>
        <w:tabs>
          <w:tab w:leader="none" w:pos="11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18"/>
          <w:szCs w:val="18"/>
          <w:color w:val="auto"/>
        </w:rPr>
      </w:pPr>
    </w:p>
    <w:p>
      <w:pPr>
        <w:jc w:val="both"/>
        <w:ind w:left="-656" w:firstLine="656"/>
        <w:spacing w:after="0" w:line="256" w:lineRule="auto"/>
        <w:tabs>
          <w:tab w:leader="none" w:pos="51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service upon a resignation for “good reason,” or for a “constructive termination” or any similar term under any plan of or agreement with the Company.</w:t>
      </w:r>
    </w:p>
    <w:p>
      <w:pPr>
        <w:spacing w:after="0" w:line="183" w:lineRule="exact"/>
        <w:rPr>
          <w:rFonts w:ascii="Arial" w:cs="Arial" w:eastAsia="Arial" w:hAnsi="Arial"/>
          <w:sz w:val="18"/>
          <w:szCs w:val="18"/>
          <w:b w:val="1"/>
          <w:bCs w:val="1"/>
          <w:color w:val="auto"/>
        </w:rPr>
      </w:pPr>
    </w:p>
    <w:p>
      <w:pPr>
        <w:jc w:val="both"/>
        <w:ind w:left="-656" w:firstLine="656"/>
        <w:spacing w:after="0" w:line="262" w:lineRule="auto"/>
        <w:tabs>
          <w:tab w:leader="none" w:pos="4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the Award subject to this Agreement shall not be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6" w:lineRule="exact"/>
        <w:rPr>
          <w:rFonts w:ascii="Arial" w:cs="Arial" w:eastAsia="Arial" w:hAnsi="Arial"/>
          <w:sz w:val="18"/>
          <w:szCs w:val="18"/>
          <w:b w:val="1"/>
          <w:bCs w:val="1"/>
          <w:color w:val="auto"/>
        </w:rPr>
      </w:pPr>
    </w:p>
    <w:p>
      <w:pPr>
        <w:jc w:val="both"/>
        <w:ind w:left="-656" w:firstLine="656"/>
        <w:spacing w:after="0" w:line="262" w:lineRule="auto"/>
        <w:tabs>
          <w:tab w:leader="none" w:pos="44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all or any part of this Agreement or the Plan is declared by any court or governmental authority to be unlawful</w:t>
      </w:r>
      <w:r>
        <w:rPr>
          <w:rFonts w:ascii="Arial" w:cs="Arial" w:eastAsia="Arial" w:hAnsi="Arial"/>
          <w:sz w:val="18"/>
          <w:szCs w:val="18"/>
          <w:b w:val="1"/>
          <w:bCs w:val="1"/>
          <w:color w:val="auto"/>
        </w:rPr>
        <w:t xml:space="preserve"> </w:t>
      </w:r>
      <w:r>
        <w:rPr>
          <w:rFonts w:ascii="Arial" w:cs="Arial" w:eastAsia="Arial" w:hAnsi="Arial"/>
          <w:sz w:val="18"/>
          <w:szCs w:val="18"/>
          <w:color w:val="auto"/>
        </w:rPr>
        <w:t>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Arial" w:cs="Arial" w:eastAsia="Arial" w:hAnsi="Arial"/>
          <w:sz w:val="18"/>
          <w:szCs w:val="18"/>
          <w:b w:val="1"/>
          <w:bCs w:val="1"/>
          <w:color w:val="auto"/>
        </w:rPr>
      </w:pPr>
    </w:p>
    <w:p>
      <w:pPr>
        <w:jc w:val="both"/>
        <w:ind w:left="-656" w:firstLine="656"/>
        <w:spacing w:after="0" w:line="269" w:lineRule="auto"/>
        <w:tabs>
          <w:tab w:leader="none" w:pos="4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You hereby acknowledge receipt or the right to receive a document providing the information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8" w:lineRule="exact"/>
        <w:rPr>
          <w:rFonts w:ascii="Arial" w:cs="Arial" w:eastAsia="Arial" w:hAnsi="Arial"/>
          <w:sz w:val="18"/>
          <w:szCs w:val="18"/>
          <w:b w:val="1"/>
          <w:bCs w:val="1"/>
          <w:color w:val="auto"/>
        </w:rPr>
      </w:pPr>
    </w:p>
    <w:p>
      <w:pPr>
        <w:jc w:val="both"/>
        <w:ind w:left="-656" w:firstLine="656"/>
        <w:spacing w:after="0" w:line="256" w:lineRule="auto"/>
        <w:tabs>
          <w:tab w:leader="none" w:pos="48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Agreement may not be modified, amended or terminated except by an instrument in writing, signed by you</w:t>
      </w:r>
      <w:r>
        <w:rPr>
          <w:rFonts w:ascii="Arial" w:cs="Arial" w:eastAsia="Arial" w:hAnsi="Arial"/>
          <w:sz w:val="18"/>
          <w:szCs w:val="18"/>
          <w:b w:val="1"/>
          <w:bCs w:val="1"/>
          <w:color w:val="auto"/>
        </w:rPr>
        <w:t xml:space="preserve"> </w:t>
      </w:r>
      <w:r>
        <w:rPr>
          <w:rFonts w:ascii="Arial" w:cs="Arial" w:eastAsia="Arial" w:hAnsi="Arial"/>
          <w:sz w:val="18"/>
          <w:szCs w:val="18"/>
          <w:color w:val="auto"/>
        </w:rPr>
        <w:t>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w:t>
      </w:r>
    </w:p>
    <w:p>
      <w:pPr>
        <w:sectPr>
          <w:pgSz w:w="11900" w:h="16838" w:orient="portrait"/>
          <w:cols w:equalWidth="0" w:num="1">
            <w:col w:w="10764"/>
          </w:cols>
          <w:pgMar w:left="896" w:top="382" w:right="239" w:bottom="1440" w:gutter="0" w:footer="0" w:header="0"/>
        </w:sectPr>
      </w:pPr>
    </w:p>
    <w:bookmarkStart w:id="71" w:name="page72"/>
    <w:bookmarkEnd w:id="71"/>
    <w:p>
      <w:pPr>
        <w:spacing w:after="0" w:line="262" w:lineRule="auto"/>
        <w:rPr>
          <w:sz w:val="20"/>
          <w:szCs w:val="20"/>
          <w:color w:val="auto"/>
        </w:rPr>
      </w:pPr>
      <w:r>
        <w:rPr>
          <w:rFonts w:ascii="Arial" w:cs="Arial" w:eastAsia="Arial" w:hAnsi="Arial"/>
          <w:sz w:val="18"/>
          <w:szCs w:val="18"/>
          <w:color w:val="auto"/>
        </w:rPr>
        <w:t>that any such change shall be applicable only to rights relating to that portion of the Award which is then subject to restrictions as provided herein.</w:t>
      </w:r>
    </w:p>
    <w:p>
      <w:pPr>
        <w:spacing w:after="0" w:line="174" w:lineRule="exact"/>
        <w:rPr>
          <w:sz w:val="20"/>
          <w:szCs w:val="20"/>
          <w:color w:val="auto"/>
        </w:rPr>
      </w:pPr>
    </w:p>
    <w:p>
      <w:pPr>
        <w:jc w:val="both"/>
        <w:ind w:firstLine="656"/>
        <w:spacing w:after="0" w:line="253" w:lineRule="auto"/>
        <w:tabs>
          <w:tab w:leader="none" w:pos="109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This Restricted Stock Unit Award Agreement shall be deemed to be signed by the Company and the Participant upon the signing by the Participant of the Restricted Stock Unit Grant Notice to which it is attached.</w:t>
      </w:r>
    </w:p>
    <w:p>
      <w:pPr>
        <w:sectPr>
          <w:pgSz w:w="11900" w:h="16838" w:orient="portrait"/>
          <w:cols w:equalWidth="0" w:num="1">
            <w:col w:w="11420"/>
          </w:cols>
          <w:pgMar w:left="240" w:top="38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ATTACHMENT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EQUITY INCENTIVE PLAN</w:t>
      </w:r>
    </w:p>
    <w:p>
      <w:pPr>
        <w:sectPr>
          <w:pgSz w:w="11900" w:h="16838" w:orient="portrait"/>
          <w:cols w:equalWidth="0" w:num="1">
            <w:col w:w="9019"/>
          </w:cols>
          <w:pgMar w:left="1440" w:top="576"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225" w:lineRule="exact"/>
        <w:rPr>
          <w:sz w:val="20"/>
          <w:szCs w:val="20"/>
          <w:color w:val="auto"/>
        </w:rPr>
      </w:pPr>
    </w:p>
    <w:p>
      <w:pPr>
        <w:ind w:left="500" w:hanging="465"/>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8"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0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June 30, 2019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7"/>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lvl w:ilvl="1">
      <w:lvlJc w:val="left"/>
      <w:lvlText w:val="%2."/>
      <w:numFmt w:val="decimal"/>
      <w:start w:val="1"/>
    </w:lvl>
  </w:abstractNum>
  <w:abstractNum w:abstractNumId="31">
    <w:nsid w:val="77465F01"/>
    <w:multiLevelType w:val="hybridMultilevel"/>
    <w:lvl w:ilvl="0">
      <w:lvlJc w:val="left"/>
      <w:lvlText w:val="(%1)"/>
      <w:numFmt w:val="decimal"/>
      <w:start w:val="12"/>
    </w:lvl>
    <w:lvl w:ilvl="1">
      <w:lvlJc w:val="left"/>
      <w:lvlText w:val="%2"/>
      <w:numFmt w:val="decimal"/>
      <w:start w:val="1"/>
    </w:lvl>
  </w:abstractNum>
  <w:abstractNum w:abstractNumId="32">
    <w:nsid w:val="7724C67E"/>
    <w:multiLevelType w:val="hybridMultilevel"/>
    <w:lvl w:ilvl="0">
      <w:lvlJc w:val="left"/>
      <w:lvlText w:val="%1."/>
      <w:numFmt w:val="decimal"/>
      <w:start w:val="3"/>
    </w:lvl>
    <w:lvl w:ilvl="1">
      <w:lvlJc w:val="left"/>
      <w:lvlText w:val="(%2)"/>
      <w:numFmt w:val="lowerLetter"/>
      <w:start w:val="1"/>
    </w:lvl>
  </w:abstractNum>
  <w:abstractNum w:abstractNumId="33">
    <w:nsid w:val="5C482A97"/>
    <w:multiLevelType w:val="hybridMultilevel"/>
    <w:lvl w:ilvl="0">
      <w:lvlJc w:val="left"/>
      <w:lvlText w:val="(%1)"/>
      <w:numFmt w:val="lowerLetter"/>
      <w:start w:val="2"/>
    </w:lvl>
    <w:lvl w:ilvl="1">
      <w:lvlJc w:val="left"/>
      <w:lvlText w:val="(%2)"/>
      <w:numFmt w:val="lowerRoman"/>
      <w:start w:val="1"/>
    </w:lvl>
  </w:abstractNum>
  <w:abstractNum w:abstractNumId="34">
    <w:nsid w:val="2463B9EA"/>
    <w:multiLevelType w:val="hybridMultilevel"/>
    <w:lvl w:ilvl="0">
      <w:lvlJc w:val="left"/>
      <w:lvlText w:val="%1."/>
      <w:numFmt w:val="decimal"/>
      <w:start w:val="7"/>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2"/>
    </w:lvl>
  </w:abstractNum>
  <w:abstractNum w:abstractNumId="36">
    <w:nsid w:val="51EAD36B"/>
    <w:multiLevelType w:val="hybridMultilevel"/>
    <w:lvl w:ilvl="0">
      <w:lvlJc w:val="left"/>
      <w:lvlText w:val="%1."/>
      <w:numFmt w:val="decimal"/>
      <w:start w:val="1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2"/>
    </w:lvl>
  </w:abstractNum>
  <w:abstractNum w:abstractNumId="38">
    <w:nsid w:val="580BD78F"/>
    <w:multiLevelType w:val="hybridMultilevel"/>
    <w:lvl w:ilvl="0">
      <w:lvlJc w:val="left"/>
      <w:lvlText w:val="%1."/>
      <w:numFmt w:val="decimal"/>
      <w:start w:val="16"/>
    </w:lvl>
    <w:lvl w:ilvl="1">
      <w:lvlJc w:val="left"/>
      <w:lvlText w:val="%2"/>
      <w:numFmt w:val="lowerLetter"/>
      <w:start w:val="1"/>
    </w:lvl>
  </w:abstractNum>
  <w:abstractNum w:abstractNumId="39">
    <w:nsid w:val="153EA438"/>
    <w:multiLevelType w:val="hybridMultilevel"/>
    <w:lvl w:ilvl="0">
      <w:lvlJc w:val="left"/>
      <w:lvlText w:val="%1."/>
      <w:numFmt w:val="decimal"/>
      <w:start w:val="2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9" Type="http://schemas.openxmlformats.org/officeDocument/2006/relationships/hyperlink" Target="http://www.sec.gov/Archives/edgar/data/1660280/000119312518231446/d562353dex31.htm" TargetMode="External"/><Relationship Id="rId10" Type="http://schemas.openxmlformats.org/officeDocument/2006/relationships/hyperlink" Target="http://www.sec.gov/Archives/edgar/data/1660280/000119312518209705/d548092dex34.htm" TargetMode="External"/><Relationship Id="rId11" Type="http://schemas.openxmlformats.org/officeDocument/2006/relationships/hyperlink" Target="http://www.sec.gov/Archives/edgar/data/1660280/000119312518218215/d5480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2019-12-28T07:34:38Z</dcterms:created>
  <dcterms:modified xsi:type="dcterms:W3CDTF">2019-12-28T07:34:38Z</dcterms:modified>
</cp:coreProperties>
</file>