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88169.xml.htm"/>
      <w:bookmarkStart w:id="1" w:name="kswkform4_178768816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Vintz Stephen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TENABLE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6100 MERRIWEATHER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COLUMBIA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Tenable Holdings, Inc.</w:t>
              </w:r>
            </w:hyperlink>
            <w:r>
              <w:rPr/>
              <w:t xml:space="preserve"> [ </w:t>
            </w:r>
            <w:r>
              <w:rPr>
                <w:rFonts w:ascii="Times;serif" w:hAnsi="Times;serif"/>
                <w:color w:val="0000FF"/>
                <w:sz w:val="24"/>
                <w:shd w:fill="FFFFFF" w:val="clear"/>
              </w:rPr>
              <w:t>TENB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1,595</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612,119</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764</w:t>
            </w:r>
            <w:r>
              <w:rPr>
                <w:rFonts w:ascii="Times;serif" w:hAnsi="Times;serif"/>
                <w:color w:val="008000"/>
                <w:position w:val="7"/>
                <w:sz w:val="16"/>
                <w:sz w:val="20"/>
                <w:shd w:fill="FFFFFF" w:val="clear"/>
              </w:rPr>
              <w:t>(1)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33.94</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611,355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2,345</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613,700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1,123</w:t>
            </w:r>
            <w:r>
              <w:rPr>
                <w:rFonts w:ascii="Times;serif" w:hAnsi="Times;serif"/>
                <w:color w:val="008000"/>
                <w:position w:val="7"/>
                <w:sz w:val="16"/>
                <w:sz w:val="20"/>
                <w:shd w:fill="FFFFFF" w:val="clear"/>
              </w:rPr>
              <w:t>(1)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33.94</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612,577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6,095</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618,672</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2,917</w:t>
            </w:r>
            <w:r>
              <w:rPr>
                <w:rFonts w:ascii="Times;serif" w:hAnsi="Times;serif"/>
                <w:color w:val="008000"/>
                <w:position w:val="7"/>
                <w:sz w:val="16"/>
                <w:sz w:val="20"/>
                <w:shd w:fill="FFFFFF" w:val="clear"/>
              </w:rPr>
              <w:t>(1)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33.94</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615,755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5,095</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620,850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2,438</w:t>
            </w:r>
            <w:r>
              <w:rPr>
                <w:rFonts w:ascii="Times;serif" w:hAnsi="Times;serif"/>
                <w:color w:val="008000"/>
                <w:position w:val="7"/>
                <w:sz w:val="16"/>
                <w:sz w:val="20"/>
                <w:shd w:fill="FFFFFF" w:val="clear"/>
              </w:rPr>
              <w:t>(1)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33.94</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618,412</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7,764</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626,176</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3,716</w:t>
            </w:r>
            <w:r>
              <w:rPr>
                <w:rFonts w:ascii="Times;serif" w:hAnsi="Times;serif"/>
                <w:color w:val="008000"/>
                <w:position w:val="7"/>
                <w:sz w:val="16"/>
                <w:sz w:val="20"/>
                <w:shd w:fill="FFFFFF" w:val="clear"/>
              </w:rPr>
              <w:t>(1)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33.94</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622,460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4,519</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626,979</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2,163</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33.94</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624,816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4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1,595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3,195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2,345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14,077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6,095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6,095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60,957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5,095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10,191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7,764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7,764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77,644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4,519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4,519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27,114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that have been withheld by the issuer to satisfy its income tax withholding and remittance obligations in connection with the net settlement of the Restricted Stock Units ("RSUs") and does not represent a sale.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a contingent right to receive one share of Issuer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February 21, 2024, the Compensation Committee of the Issuer's Board of Directors certified the achievement of the Performance Restricted Stock Units (PRSUs) granted on February 22, 2023 and determined a 93.9% payout for the measurement period based on the Issuer's fiscal year 2023 criteria. 25% of the shares underlying the PRSUs vested on February 22, 2024, with the remainder vesting in equal quarterly installments over 3 years, subject to the Reporting Person's continuous service with the Issuer as of the applicable vesting date, and subject to accelerated vesting in specified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February 13, 2025, the Compensation Committee of the Issuer's Board of Directors certified the achievement of the Performance Restricted Stock Units (PRSUs) granted on February 22, 2024 and determined a 96.4% payout for the measurement period based on the Issuer's fiscal year 2024 criteria. 25% of the shares underlying the PRSUs vested on February 22, 2025, with the remainder vesting in equal quarterly installments over 3 years, subject to the Reporting Person's continuous service with the Issuer as of the applicable vesting date, and subject to accelerated vesting in specified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February 25, 2026, the Compensation Committee of the Issuer's Board of Directors certified the achievement of the Performance Restricted Stock Units (PRSUs) granted on February 21, 2025 and determined a 97.2% payout for the measurement period based on the Issuer's fiscal year 2025 criteria. 25% of the shares underlying the PRSUs vested on February 25, 2026, with the remainder vesting in equal quarterly installments over 3 years, subject to the Reporting Person's continuous service with the Issuer as of the applicable vesting date, and subject to accelerated vesting in specified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25% of the shares underlying the RSUs vest on February 22, 2024, with the remainder vesting in equal quarterly installments over 3 years, subject to the Reporting Person's continuous service with the Issuer as of the applicable vesting date, and subject to accelerated vesting in specified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25% of the shares underlying the RSUs vested on August 22, 2025, 25% on February 22, 2026, with the remainder vesting in equal quarterly installments over 3 years, subject to the Reporting Person's continuous service with the Issuer as of the applicable vesting date, and subject to accelerated vesting in specified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25% of the shares underlying the RSUs vest on February 22, 2025, with the remainder vesting in equal quarterly installments over 3 years, subject to the Reporting Person's continuous service with the Issuer as of the applicable vesting date, and subject to accelerated vesting in specified circumstances.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Bartholomew,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5943" TargetMode="External"/><Relationship Id="rId5" Type="http://schemas.openxmlformats.org/officeDocument/2006/relationships/hyperlink" Target="http://www.sec.gov/cgi-bin/browse-edgar?action=getcompany&amp;CIK=0001660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1248</Words>
  <Characters>6673</Characters>
  <CharactersWithSpaces>7685</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