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231F20"/>
        </w:rPr>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231F20"/>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8"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FORM 10-Q</w:t>
      </w:r>
    </w:p>
    <w:p>
      <w:pPr>
        <w:spacing w:after="0" w:line="4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Quarterly Period Ended March 31, 2019</w:t>
      </w:r>
    </w:p>
    <w:p>
      <w:pPr>
        <w:spacing w:after="0" w:line="5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176" w:lineRule="exact"/>
        <w:rPr>
          <w:sz w:val="24"/>
          <w:szCs w:val="24"/>
          <w:color w:val="auto"/>
        </w:rPr>
      </w:pPr>
    </w:p>
    <w:p>
      <w:pPr>
        <w:ind w:left="580" w:hanging="545"/>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rFonts w:ascii="Arial" w:cs="Arial" w:eastAsia="Arial" w:hAnsi="Arial"/>
          <w:sz w:val="18"/>
          <w:szCs w:val="18"/>
          <w:color w:val="auto"/>
        </w:rPr>
      </w:pPr>
    </w:p>
    <w:p>
      <w:pPr>
        <w:ind w:left="3980"/>
        <w:spacing w:after="0"/>
        <w:rPr>
          <w:rFonts w:ascii="Arial" w:cs="Arial" w:eastAsia="Arial" w:hAnsi="Arial"/>
          <w:sz w:val="18"/>
          <w:szCs w:val="18"/>
          <w:color w:val="auto"/>
        </w:rPr>
      </w:pPr>
      <w:r>
        <w:rPr>
          <w:rFonts w:ascii="Arial" w:cs="Arial" w:eastAsia="Arial" w:hAnsi="Arial"/>
          <w:sz w:val="16"/>
          <w:szCs w:val="16"/>
          <w:b w:val="1"/>
          <w:bCs w:val="1"/>
          <w:color w:val="auto"/>
        </w:rPr>
        <w:t>For the transition period from _____ to _____</w:t>
      </w:r>
    </w:p>
    <w:p>
      <w:pPr>
        <w:spacing w:after="0" w:line="11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001-38600</w:t>
      </w:r>
    </w:p>
    <w:p>
      <w:pPr>
        <w:spacing w:after="0" w:line="2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231F20"/>
        </w:rPr>
        <w:t>TENABLE HOLDINGS, INC.</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7" w:right="319" w:bottom="1440" w:gutter="0" w:footer="0" w:header="0"/>
        </w:sectPr>
      </w:pPr>
    </w:p>
    <w:p>
      <w:pPr>
        <w:spacing w:after="0" w:line="154" w:lineRule="exact"/>
        <w:rPr>
          <w:sz w:val="24"/>
          <w:szCs w:val="24"/>
          <w:color w:val="auto"/>
        </w:rPr>
      </w:pPr>
    </w:p>
    <w:p>
      <w:pPr>
        <w:ind w:left="20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122" w:lineRule="exact"/>
        <w:rPr>
          <w:sz w:val="24"/>
          <w:szCs w:val="24"/>
          <w:color w:val="auto"/>
        </w:rPr>
      </w:pPr>
    </w:p>
    <w:p>
      <w:pPr>
        <w:sectPr>
          <w:pgSz w:w="11900" w:h="16838" w:orient="portrait"/>
          <w:cols w:equalWidth="0" w:num="2">
            <w:col w:w="7880" w:space="720"/>
            <w:col w:w="2740"/>
          </w:cols>
          <w:pgMar w:left="240" w:top="247"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13" w:lineRule="exact"/>
        <w:rPr>
          <w:sz w:val="24"/>
          <w:szCs w:val="24"/>
          <w:color w:val="auto"/>
        </w:rPr>
      </w:pPr>
    </w:p>
    <w:p>
      <w:pPr>
        <w:sectPr>
          <w:pgSz w:w="11900" w:h="16838" w:orient="portrait"/>
          <w:cols w:equalWidth="0" w:num="2">
            <w:col w:w="7060" w:space="720"/>
            <w:col w:w="3560"/>
          </w:cols>
          <w:pgMar w:left="240" w:top="247"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7021 Columbia Gateway Drive, Suite 500, Columbia, Maryland, 21046</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86"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(410) 872-0555</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20"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58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1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4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40" w:type="dxa"/>
            <w:vAlign w:val="bottom"/>
          </w:tcPr>
          <w:p>
            <w:pPr>
              <w:jc w:val="center"/>
              <w:ind w:left="1019"/>
              <w:spacing w:after="0"/>
              <w:rPr>
                <w:sz w:val="20"/>
                <w:szCs w:val="20"/>
                <w:color w:val="auto"/>
              </w:rPr>
            </w:pPr>
            <w:r>
              <w:rPr>
                <w:rFonts w:ascii="Arial" w:cs="Arial" w:eastAsia="Arial" w:hAnsi="Arial"/>
                <w:sz w:val="16"/>
                <w:szCs w:val="16"/>
                <w:color w:val="auto"/>
                <w:w w:val="89"/>
              </w:rPr>
              <w:t>o</w:t>
            </w:r>
          </w:p>
        </w:tc>
        <w:tc>
          <w:tcPr>
            <w:tcW w:w="388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1580" w:type="dxa"/>
            <w:vAlign w:val="bottom"/>
          </w:tcPr>
          <w:p>
            <w:pPr>
              <w:ind w:left="1500"/>
              <w:spacing w:after="0"/>
              <w:rPr>
                <w:sz w:val="20"/>
                <w:szCs w:val="20"/>
                <w:color w:val="auto"/>
              </w:rPr>
            </w:pPr>
            <w:r>
              <w:rPr>
                <w:rFonts w:ascii="Arial" w:cs="Arial" w:eastAsia="Arial" w:hAnsi="Arial"/>
                <w:sz w:val="15"/>
                <w:szCs w:val="15"/>
                <w:color w:val="auto"/>
                <w:w w:val="71"/>
              </w:rPr>
              <w:t>o</w:t>
            </w:r>
          </w:p>
        </w:tc>
      </w:tr>
      <w:tr>
        <w:trPr>
          <w:trHeight w:val="275"/>
        </w:trPr>
        <w:tc>
          <w:tcPr>
            <w:tcW w:w="3480" w:type="dxa"/>
            <w:vAlign w:val="bottom"/>
          </w:tcPr>
          <w:p>
            <w:pPr>
              <w:spacing w:after="0"/>
              <w:rPr>
                <w:sz w:val="20"/>
                <w:szCs w:val="20"/>
                <w:color w:val="auto"/>
              </w:rPr>
            </w:pPr>
            <w:r>
              <w:rPr>
                <w:rFonts w:ascii="Arial" w:cs="Arial" w:eastAsia="Arial" w:hAnsi="Arial"/>
                <w:sz w:val="16"/>
                <w:szCs w:val="16"/>
                <w:color w:val="auto"/>
              </w:rPr>
              <w:t>Non-accelerated filer</w:t>
            </w:r>
          </w:p>
        </w:tc>
        <w:tc>
          <w:tcPr>
            <w:tcW w:w="2140" w:type="dxa"/>
            <w:vAlign w:val="bottom"/>
          </w:tcPr>
          <w:p>
            <w:pPr>
              <w:jc w:val="center"/>
              <w:ind w:left="1039"/>
              <w:spacing w:after="0" w:line="161" w:lineRule="exact"/>
              <w:rPr>
                <w:sz w:val="20"/>
                <w:szCs w:val="20"/>
                <w:color w:val="auto"/>
              </w:rPr>
            </w:pPr>
            <w:r>
              <w:rPr>
                <w:rFonts w:ascii="MS PGothic" w:cs="MS PGothic" w:eastAsia="MS PGothic" w:hAnsi="MS PGothic"/>
                <w:sz w:val="16"/>
                <w:szCs w:val="16"/>
                <w:color w:val="auto"/>
                <w:w w:val="87"/>
              </w:rPr>
              <w:t>☒</w:t>
            </w:r>
          </w:p>
        </w:tc>
        <w:tc>
          <w:tcPr>
            <w:tcW w:w="38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140" w:type="dxa"/>
            <w:vAlign w:val="bottom"/>
          </w:tcPr>
          <w:p>
            <w:pPr>
              <w:jc w:val="center"/>
              <w:ind w:left="1039"/>
              <w:spacing w:after="0" w:line="161" w:lineRule="exact"/>
              <w:rPr>
                <w:sz w:val="20"/>
                <w:szCs w:val="20"/>
                <w:color w:val="auto"/>
              </w:rPr>
            </w:pPr>
            <w:r>
              <w:rPr>
                <w:rFonts w:ascii="MS PGothic" w:cs="MS PGothic" w:eastAsia="MS PGothic" w:hAnsi="MS PGothic"/>
                <w:sz w:val="16"/>
                <w:szCs w:val="16"/>
                <w:color w:val="auto"/>
                <w:w w:val="87"/>
              </w:rPr>
              <w:t>☒</w:t>
            </w:r>
          </w:p>
        </w:tc>
        <w:tc>
          <w:tcPr>
            <w:tcW w:w="388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1580" w:type="dxa"/>
            <w:vAlign w:val="bottom"/>
          </w:tcPr>
          <w:p>
            <w:pPr>
              <w:ind w:left="1500"/>
              <w:spacing w:after="0"/>
              <w:rPr>
                <w:sz w:val="20"/>
                <w:szCs w:val="20"/>
                <w:color w:val="auto"/>
              </w:rPr>
            </w:pPr>
            <w:r>
              <w:rPr>
                <w:rFonts w:ascii="Arial" w:cs="Arial" w:eastAsia="Arial" w:hAnsi="Arial"/>
                <w:sz w:val="15"/>
                <w:szCs w:val="15"/>
                <w:color w:val="auto"/>
                <w:w w:val="71"/>
              </w:rPr>
              <w:t>o</w:t>
            </w:r>
          </w:p>
        </w:tc>
      </w:tr>
    </w:tbl>
    <w:p>
      <w:pPr>
        <w:spacing w:after="0" w:line="57" w:lineRule="exact"/>
        <w:rPr>
          <w:sz w:val="24"/>
          <w:szCs w:val="24"/>
          <w:color w:val="auto"/>
        </w:rPr>
      </w:pPr>
    </w:p>
    <w:p>
      <w:pPr>
        <w:jc w:val="both"/>
        <w:ind w:left="40" w:right="2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p>
      <w:pPr>
        <w:spacing w:after="0" w:line="184" w:lineRule="exact"/>
        <w:tabs>
          <w:tab w:leader="none" w:pos="8260" w:val="left"/>
          <w:tab w:leader="none" w:pos="8700" w:val="left"/>
          <w:tab w:leader="none" w:pos="9100" w:val="left"/>
          <w:tab w:leader="none" w:pos="94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340"/>
          </w:cols>
          <w:pgMar w:left="240" w:top="247" w:right="319" w:bottom="1440" w:gutter="0" w:footer="0" w:header="0"/>
          <w:type w:val="continuous"/>
        </w:sectPr>
      </w:pPr>
    </w:p>
    <w:p>
      <w:pPr>
        <w:spacing w:after="0" w:line="167" w:lineRule="exact"/>
        <w:rPr>
          <w:sz w:val="24"/>
          <w:szCs w:val="24"/>
          <w:color w:val="auto"/>
        </w:rPr>
      </w:pPr>
    </w:p>
    <w:p>
      <w:pPr>
        <w:ind w:left="148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59" w:lineRule="exact"/>
        <w:rPr>
          <w:sz w:val="24"/>
          <w:szCs w:val="24"/>
          <w:color w:val="auto"/>
        </w:rPr>
      </w:pPr>
    </w:p>
    <w:p>
      <w:pPr>
        <w:sectPr>
          <w:pgSz w:w="11900" w:h="16838" w:orient="portrait"/>
          <w:cols w:equalWidth="0" w:num="3">
            <w:col w:w="4340" w:space="720"/>
            <w:col w:w="1920" w:space="720"/>
            <w:col w:w="3640"/>
          </w:cols>
          <w:pgMar w:left="240" w:top="247" w:right="31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140" w:lineRule="exact"/>
        <w:rPr>
          <w:sz w:val="24"/>
          <w:szCs w:val="24"/>
          <w:color w:val="auto"/>
        </w:rPr>
      </w:pPr>
    </w:p>
    <w:p>
      <w:pPr>
        <w:sectPr>
          <w:pgSz w:w="11900" w:h="16838" w:orient="portrait"/>
          <w:cols w:equalWidth="0" w:num="3">
            <w:col w:w="4780" w:space="720"/>
            <w:col w:w="1980" w:space="720"/>
            <w:col w:w="3140"/>
          </w:cols>
          <w:pgMar w:left="240" w:top="247"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May 3, 2019 was 96,473,350.</w:t>
      </w:r>
    </w:p>
    <w:p>
      <w:pPr>
        <w:sectPr>
          <w:pgSz w:w="11900" w:h="16838" w:orient="portrait"/>
          <w:cols w:equalWidth="0" w:num="1">
            <w:col w:w="11340"/>
          </w:cols>
          <w:pgMar w:left="240" w:top="24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20" w:type="dxa"/>
            <w:vAlign w:val="bottom"/>
            <w:gridSpan w:val="11"/>
          </w:tcPr>
          <w:p>
            <w:pPr>
              <w:jc w:val="center"/>
              <w:ind w:right="3820"/>
              <w:spacing w:after="0"/>
              <w:rPr>
                <w:sz w:val="20"/>
                <w:szCs w:val="20"/>
                <w:color w:val="auto"/>
              </w:rPr>
            </w:pPr>
            <w:r>
              <w:rPr>
                <w:rFonts w:ascii="Arial" w:cs="Arial" w:eastAsia="Arial" w:hAnsi="Arial"/>
                <w:sz w:val="18"/>
                <w:szCs w:val="18"/>
                <w:b w:val="1"/>
                <w:bCs w:val="1"/>
                <w:color w:val="auto"/>
                <w:w w:val="99"/>
              </w:rPr>
              <w:t>TENABLE HOLDINGS,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9"/>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20" w:type="dxa"/>
            <w:vAlign w:val="bottom"/>
            <w:gridSpan w:val="11"/>
          </w:tcPr>
          <w:p>
            <w:pPr>
              <w:jc w:val="center"/>
              <w:ind w:right="380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67"/>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Page</w:t>
            </w: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gridSpan w:val="13"/>
          </w:tcPr>
          <w:p>
            <w:pPr>
              <w:jc w:val="center"/>
              <w:ind w:right="354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 FINANCIAL INFORMATION</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2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10"/>
          </w:tcPr>
          <w:p>
            <w:pPr>
              <w:spacing w:after="0"/>
              <w:rPr>
                <w:sz w:val="21"/>
                <w:szCs w:val="21"/>
                <w:color w:val="auto"/>
              </w:rPr>
            </w:pPr>
          </w:p>
        </w:tc>
        <w:tc>
          <w:tcPr>
            <w:tcW w:w="354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Balance Sheets</w:t>
              </w:r>
            </w:hyperlink>
          </w:p>
        </w:tc>
        <w:tc>
          <w:tcPr>
            <w:tcW w:w="7460" w:type="dxa"/>
            <w:vAlign w:val="bottom"/>
            <w:gridSpan w:val="19"/>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Operations</w:t>
              </w:r>
            </w:hyperlink>
          </w:p>
        </w:tc>
        <w:tc>
          <w:tcPr>
            <w:tcW w:w="6680" w:type="dxa"/>
            <w:vAlign w:val="bottom"/>
            <w:gridSpan w:val="15"/>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2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Loss</w:t>
              </w:r>
            </w:hyperlink>
          </w:p>
        </w:tc>
        <w:tc>
          <w:tcPr>
            <w:tcW w:w="20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40" w:type="dxa"/>
            <w:vAlign w:val="bottom"/>
            <w:tcBorders>
              <w:bottom w:val="single" w:sz="8" w:color="0000EE"/>
            </w:tcBorders>
            <w:gridSpan w:val="28"/>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Redeemable Convertible Preferred Stock and Stockholders' Equity (Deficit)</w:t>
              </w:r>
            </w:hyperlink>
          </w:p>
        </w:tc>
        <w:tc>
          <w:tcPr>
            <w:tcW w:w="1580" w:type="dxa"/>
            <w:vAlign w:val="bottom"/>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Cash Flows</w:t>
              </w:r>
            </w:hyperlink>
          </w:p>
        </w:tc>
        <w:tc>
          <w:tcPr>
            <w:tcW w:w="6620" w:type="dxa"/>
            <w:vAlign w:val="bottom"/>
            <w:gridSpan w:val="14"/>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Financial Statements</w:t>
              </w:r>
            </w:hyperlink>
          </w:p>
        </w:tc>
        <w:tc>
          <w:tcPr>
            <w:tcW w:w="6320" w:type="dxa"/>
            <w:vAlign w:val="bottom"/>
            <w:gridSpan w:val="11"/>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9400" w:type="dxa"/>
            <w:vAlign w:val="bottom"/>
            <w:gridSpan w:val="27"/>
          </w:tcPr>
          <w:p>
            <w:pPr>
              <w:ind w:left="20"/>
              <w:spacing w:after="0"/>
              <w:rPr>
                <w:rFonts w:ascii="Arial" w:cs="Arial" w:eastAsia="Arial" w:hAnsi="Arial"/>
                <w:sz w:val="18"/>
                <w:szCs w:val="18"/>
                <w:color w:val="0000EE"/>
              </w:rPr>
            </w:pPr>
            <w:hyperlink w:anchor="page8">
              <w:r>
                <w:rPr>
                  <w:rFonts w:ascii="Arial" w:cs="Arial" w:eastAsia="Arial" w:hAnsi="Arial"/>
                  <w:sz w:val="18"/>
                  <w:szCs w:val="18"/>
                  <w:color w:val="0000EE"/>
                </w:rPr>
                <w:t>Business and Summary of Significant Accounting Policies</w:t>
              </w:r>
            </w:hyperlink>
          </w:p>
        </w:tc>
        <w:tc>
          <w:tcPr>
            <w:tcW w:w="200" w:type="dxa"/>
            <w:vAlign w:val="bottom"/>
            <w:gridSpan w:val="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2">
              <w:r>
                <w:rPr>
                  <w:rFonts w:ascii="Arial" w:cs="Arial" w:eastAsia="Arial" w:hAnsi="Arial"/>
                  <w:sz w:val="18"/>
                  <w:szCs w:val="18"/>
                  <w:color w:val="0000EE"/>
                </w:rPr>
                <w:t>2.</w:t>
              </w:r>
            </w:hyperlink>
          </w:p>
        </w:tc>
        <w:tc>
          <w:tcPr>
            <w:tcW w:w="9400" w:type="dxa"/>
            <w:vAlign w:val="bottom"/>
            <w:gridSpan w:val="27"/>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Cash and Cash Equivalents and Short-Term Investments</w:t>
              </w:r>
            </w:hyperlink>
          </w:p>
        </w:tc>
        <w:tc>
          <w:tcPr>
            <w:tcW w:w="42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3">
              <w:r>
                <w:rPr>
                  <w:rFonts w:ascii="Arial" w:cs="Arial" w:eastAsia="Arial" w:hAnsi="Arial"/>
                  <w:sz w:val="18"/>
                  <w:szCs w:val="18"/>
                  <w:color w:val="0000EE"/>
                </w:rPr>
                <w:t>3.</w:t>
              </w:r>
            </w:hyperlink>
          </w:p>
        </w:tc>
        <w:tc>
          <w:tcPr>
            <w:tcW w:w="9400" w:type="dxa"/>
            <w:vAlign w:val="bottom"/>
            <w:gridSpan w:val="27"/>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Fair Value Measurements</w:t>
              </w:r>
            </w:hyperlink>
          </w:p>
        </w:tc>
        <w:tc>
          <w:tcPr>
            <w:tcW w:w="420" w:type="dxa"/>
            <w:vAlign w:val="bottom"/>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4">
              <w:r>
                <w:rPr>
                  <w:rFonts w:ascii="Arial" w:cs="Arial" w:eastAsia="Arial" w:hAnsi="Arial"/>
                  <w:sz w:val="18"/>
                  <w:szCs w:val="18"/>
                  <w:color w:val="0000EE"/>
                </w:rPr>
                <w:t>4.</w:t>
              </w:r>
            </w:hyperlink>
          </w:p>
        </w:tc>
        <w:tc>
          <w:tcPr>
            <w:tcW w:w="9400" w:type="dxa"/>
            <w:vAlign w:val="bottom"/>
            <w:gridSpan w:val="27"/>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Property and Equipment, Net</w:t>
              </w:r>
            </w:hyperlink>
          </w:p>
        </w:tc>
        <w:tc>
          <w:tcPr>
            <w:tcW w:w="42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4">
              <w:r>
                <w:rPr>
                  <w:rFonts w:ascii="Arial" w:cs="Arial" w:eastAsia="Arial" w:hAnsi="Arial"/>
                  <w:sz w:val="18"/>
                  <w:szCs w:val="18"/>
                  <w:color w:val="0000EE"/>
                </w:rPr>
                <w:t>5.</w:t>
              </w:r>
            </w:hyperlink>
          </w:p>
        </w:tc>
        <w:tc>
          <w:tcPr>
            <w:tcW w:w="9400" w:type="dxa"/>
            <w:vAlign w:val="bottom"/>
            <w:gridSpan w:val="27"/>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Leases</w:t>
              </w:r>
            </w:hyperlink>
          </w:p>
        </w:tc>
        <w:tc>
          <w:tcPr>
            <w:tcW w:w="42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5">
              <w:r>
                <w:rPr>
                  <w:rFonts w:ascii="Arial" w:cs="Arial" w:eastAsia="Arial" w:hAnsi="Arial"/>
                  <w:sz w:val="18"/>
                  <w:szCs w:val="18"/>
                  <w:color w:val="0000EE"/>
                </w:rPr>
                <w:t>6.</w:t>
              </w:r>
            </w:hyperlink>
          </w:p>
        </w:tc>
        <w:tc>
          <w:tcPr>
            <w:tcW w:w="9400" w:type="dxa"/>
            <w:vAlign w:val="bottom"/>
            <w:gridSpan w:val="27"/>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Debt</w:t>
              </w:r>
            </w:hyperlink>
          </w:p>
        </w:tc>
        <w:tc>
          <w:tcPr>
            <w:tcW w:w="42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5">
              <w:r>
                <w:rPr>
                  <w:rFonts w:ascii="Arial" w:cs="Arial" w:eastAsia="Arial" w:hAnsi="Arial"/>
                  <w:sz w:val="18"/>
                  <w:szCs w:val="18"/>
                  <w:color w:val="0000EE"/>
                </w:rPr>
                <w:t>7.</w:t>
              </w:r>
            </w:hyperlink>
          </w:p>
        </w:tc>
        <w:tc>
          <w:tcPr>
            <w:tcW w:w="9400" w:type="dxa"/>
            <w:vAlign w:val="bottom"/>
            <w:gridSpan w:val="27"/>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Redeemable Convertible Preferred Stock and Common Stock</w:t>
              </w:r>
            </w:hyperlink>
          </w:p>
        </w:tc>
        <w:tc>
          <w:tcPr>
            <w:tcW w:w="42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6">
              <w:r>
                <w:rPr>
                  <w:rFonts w:ascii="Arial" w:cs="Arial" w:eastAsia="Arial" w:hAnsi="Arial"/>
                  <w:sz w:val="18"/>
                  <w:szCs w:val="18"/>
                  <w:color w:val="0000EE"/>
                </w:rPr>
                <w:t>8.</w:t>
              </w:r>
            </w:hyperlink>
          </w:p>
        </w:tc>
        <w:tc>
          <w:tcPr>
            <w:tcW w:w="9400" w:type="dxa"/>
            <w:vAlign w:val="bottom"/>
            <w:gridSpan w:val="27"/>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Stock-Based Compensation</w:t>
              </w:r>
            </w:hyperlink>
          </w:p>
        </w:tc>
        <w:tc>
          <w:tcPr>
            <w:tcW w:w="42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8">
              <w:r>
                <w:rPr>
                  <w:rFonts w:ascii="Arial" w:cs="Arial" w:eastAsia="Arial" w:hAnsi="Arial"/>
                  <w:sz w:val="18"/>
                  <w:szCs w:val="18"/>
                  <w:color w:val="0000EE"/>
                </w:rPr>
                <w:t>9.</w:t>
              </w:r>
            </w:hyperlink>
          </w:p>
        </w:tc>
        <w:tc>
          <w:tcPr>
            <w:tcW w:w="9400" w:type="dxa"/>
            <w:vAlign w:val="bottom"/>
            <w:gridSpan w:val="27"/>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Net Loss Per Share Attributable to Common Stockholders</w:t>
              </w:r>
            </w:hyperlink>
          </w:p>
        </w:tc>
        <w:tc>
          <w:tcPr>
            <w:tcW w:w="42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tcBorders>
              <w:top w:val="single" w:sz="8" w:color="0000EE"/>
              <w:bottom w:val="single" w:sz="8" w:color="0000EE"/>
            </w:tcBorders>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10. Geographic Information</w:t>
              </w:r>
            </w:hyperlink>
          </w:p>
        </w:tc>
        <w:tc>
          <w:tcPr>
            <w:tcW w:w="2560" w:type="dxa"/>
            <w:vAlign w:val="bottom"/>
            <w:tcBorders>
              <w:top w:val="single" w:sz="8" w:color="0000EE"/>
            </w:tcBorders>
            <w:gridSpan w:val="12"/>
          </w:tcPr>
          <w:p>
            <w:pPr>
              <w:spacing w:after="0"/>
              <w:rPr>
                <w:sz w:val="21"/>
                <w:szCs w:val="21"/>
                <w:color w:val="auto"/>
              </w:rPr>
            </w:pPr>
          </w:p>
        </w:tc>
        <w:tc>
          <w:tcPr>
            <w:tcW w:w="4780" w:type="dxa"/>
            <w:vAlign w:val="bottom"/>
            <w:gridSpan w:val="6"/>
          </w:tcPr>
          <w:p>
            <w:pPr>
              <w:spacing w:after="0"/>
              <w:rPr>
                <w:sz w:val="21"/>
                <w:szCs w:val="21"/>
                <w:color w:val="auto"/>
              </w:rPr>
            </w:pPr>
          </w:p>
        </w:tc>
        <w:tc>
          <w:tcPr>
            <w:tcW w:w="2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220" w:type="dxa"/>
            <w:vAlign w:val="bottom"/>
          </w:tcPr>
          <w:p>
            <w:pPr>
              <w:spacing w:after="0"/>
              <w:rPr>
                <w:sz w:val="21"/>
                <w:szCs w:val="21"/>
                <w:color w:val="auto"/>
              </w:rPr>
            </w:pPr>
          </w:p>
        </w:tc>
      </w:tr>
      <w:tr>
        <w:trPr>
          <w:trHeight w:val="561"/>
        </w:trPr>
        <w:tc>
          <w:tcPr>
            <w:tcW w:w="9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9820" w:type="dxa"/>
            <w:vAlign w:val="bottom"/>
            <w:gridSpan w:val="2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9820" w:type="dxa"/>
            <w:vAlign w:val="bottom"/>
            <w:gridSpan w:val="2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4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9820" w:type="dxa"/>
            <w:vAlign w:val="bottom"/>
            <w:gridSpan w:val="2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4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37"/>
        </w:trPr>
        <w:tc>
          <w:tcPr>
            <w:tcW w:w="5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gridSpan w:val="1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3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2760" w:type="dxa"/>
            <w:vAlign w:val="bottom"/>
            <w:tcBorders>
              <w:top w:val="single" w:sz="8" w:color="0000EE"/>
            </w:tcBorders>
            <w:gridSpan w:val="8"/>
          </w:tcPr>
          <w:p>
            <w:pPr>
              <w:spacing w:after="0"/>
              <w:rPr>
                <w:sz w:val="20"/>
                <w:szCs w:val="20"/>
                <w:color w:val="auto"/>
              </w:rPr>
            </w:pPr>
          </w:p>
        </w:tc>
        <w:tc>
          <w:tcPr>
            <w:tcW w:w="3620" w:type="dxa"/>
            <w:vAlign w:val="bottom"/>
            <w:gridSpan w:val="4"/>
          </w:tcPr>
          <w:p>
            <w:pPr>
              <w:spacing w:after="0"/>
              <w:rPr>
                <w:sz w:val="20"/>
                <w:szCs w:val="20"/>
                <w:color w:val="auto"/>
              </w:rPr>
            </w:pPr>
          </w:p>
        </w:tc>
        <w:tc>
          <w:tcPr>
            <w:tcW w:w="4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360" w:type="dxa"/>
            <w:vAlign w:val="bottom"/>
            <w:gridSpan w:val="14"/>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9820" w:type="dxa"/>
            <w:vAlign w:val="bottom"/>
            <w:gridSpan w:val="2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4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40" w:type="dxa"/>
            <w:vAlign w:val="bottom"/>
            <w:gridSpan w:val="15"/>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2.</w:t>
              </w:r>
            </w:hyperlink>
          </w:p>
        </w:tc>
        <w:tc>
          <w:tcPr>
            <w:tcW w:w="260" w:type="dxa"/>
            <w:vAlign w:val="bottom"/>
          </w:tcPr>
          <w:p>
            <w:pPr>
              <w:spacing w:after="0"/>
              <w:rPr>
                <w:sz w:val="20"/>
                <w:szCs w:val="20"/>
                <w:color w:val="auto"/>
              </w:rPr>
            </w:pPr>
          </w:p>
        </w:tc>
        <w:tc>
          <w:tcPr>
            <w:tcW w:w="9820" w:type="dxa"/>
            <w:vAlign w:val="bottom"/>
            <w:gridSpan w:val="2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Unregistered Sales of Equity Securities and Use of Proceeds</w:t>
              </w:r>
            </w:hyperlink>
          </w:p>
        </w:tc>
        <w:tc>
          <w:tcPr>
            <w:tcW w:w="42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980" w:type="dxa"/>
            <w:vAlign w:val="bottom"/>
            <w:gridSpan w:val="16"/>
            <w:shd w:val="clear" w:color="auto" w:fill="0000EE"/>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6.</w:t>
              </w:r>
            </w:hyperlink>
          </w:p>
        </w:tc>
        <w:tc>
          <w:tcPr>
            <w:tcW w:w="9820" w:type="dxa"/>
            <w:vAlign w:val="bottom"/>
            <w:gridSpan w:val="2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42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960" w:type="dxa"/>
            <w:vAlign w:val="bottom"/>
            <w:gridSpan w:val="2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61">
              <w:r>
                <w:rPr>
                  <w:rFonts w:ascii="Arial" w:cs="Arial" w:eastAsia="Arial" w:hAnsi="Arial"/>
                  <w:sz w:val="18"/>
                  <w:szCs w:val="18"/>
                  <w:color w:val="0000EE"/>
                  <w:w w:val="97"/>
                </w:rPr>
                <w:t>Signatures</w:t>
              </w:r>
            </w:hyperlink>
          </w:p>
        </w:tc>
        <w:tc>
          <w:tcPr>
            <w:tcW w:w="8960" w:type="dxa"/>
            <w:vAlign w:val="bottom"/>
            <w:gridSpan w:val="24"/>
          </w:tcPr>
          <w:p>
            <w:pPr>
              <w:spacing w:after="0"/>
              <w:rPr>
                <w:sz w:val="20"/>
                <w:szCs w:val="20"/>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61</w:t>
              </w:r>
            </w:hyperlink>
          </w:p>
        </w:tc>
        <w:tc>
          <w:tcPr>
            <w:tcW w:w="220" w:type="dxa"/>
            <w:vAlign w:val="bottom"/>
          </w:tcPr>
          <w:p>
            <w:pPr>
              <w:spacing w:after="0"/>
              <w:rPr>
                <w:sz w:val="20"/>
                <w:szCs w:val="20"/>
                <w:color w:val="auto"/>
              </w:rPr>
            </w:pPr>
          </w:p>
        </w:tc>
      </w:tr>
      <w:tr>
        <w:trPr>
          <w:trHeight w:val="709"/>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20" w:type="dxa"/>
            <w:vAlign w:val="bottom"/>
            <w:gridSpan w:val="19"/>
          </w:tcPr>
          <w:p>
            <w:pPr>
              <w:jc w:val="center"/>
              <w:ind w:left="415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60"/>
          </w:cols>
          <w:pgMar w:left="280" w:top="360" w:right="4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81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0"/>
        </w:trPr>
        <w:tc>
          <w:tcPr>
            <w:tcW w:w="2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78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PART I. FINANCIAL INFORMATION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1"/>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780" w:type="dxa"/>
            <w:vAlign w:val="bottom"/>
          </w:tcPr>
          <w:p>
            <w:pPr>
              <w:jc w:val="center"/>
              <w:ind w:left="1230"/>
              <w:spacing w:after="0"/>
              <w:rPr>
                <w:sz w:val="20"/>
                <w:szCs w:val="20"/>
                <w:color w:val="auto"/>
              </w:rPr>
            </w:pPr>
            <w:r>
              <w:rPr>
                <w:rFonts w:ascii="Arial" w:cs="Arial" w:eastAsia="Arial" w:hAnsi="Arial"/>
                <w:sz w:val="18"/>
                <w:szCs w:val="18"/>
                <w:b w:val="1"/>
                <w:bCs w:val="1"/>
                <w:color w:val="auto"/>
                <w:w w:val="99"/>
              </w:rPr>
              <w:t>TENABLE HOLDINGS, INC.</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9"/>
        </w:trPr>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78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3"/>
        </w:trPr>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71"/>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260"/>
        </w:trPr>
        <w:tc>
          <w:tcPr>
            <w:tcW w:w="844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880" w:type="dxa"/>
            <w:vAlign w:val="bottom"/>
            <w:shd w:val="clear" w:color="auto" w:fill="CCEEFF"/>
          </w:tcPr>
          <w:p>
            <w:pPr>
              <w:spacing w:after="0"/>
              <w:rPr>
                <w:sz w:val="24"/>
                <w:szCs w:val="24"/>
                <w:color w:val="auto"/>
              </w:rPr>
            </w:pPr>
          </w:p>
        </w:tc>
        <w:tc>
          <w:tcPr>
            <w:tcW w:w="6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167,966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165,116</w:t>
            </w: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131,014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118,119</w:t>
            </w:r>
          </w:p>
        </w:tc>
      </w:tr>
      <w:tr>
        <w:trPr>
          <w:trHeight w:val="235"/>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$370 and $188 at March 31, 2019 and</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260" w:type="dxa"/>
            <w:vAlign w:val="bottom"/>
            <w:shd w:val="clear" w:color="auto" w:fill="CCEEFF"/>
          </w:tcPr>
          <w:p>
            <w:pPr>
              <w:spacing w:after="0"/>
              <w:rPr>
                <w:sz w:val="20"/>
                <w:szCs w:val="20"/>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2018, respectively)</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56,975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68,261</w:t>
            </w: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Deferred commissions</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23,838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23,272</w:t>
            </w:r>
          </w:p>
        </w:tc>
      </w:tr>
      <w:tr>
        <w:trPr>
          <w:trHeight w:val="270"/>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20,636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22,020</w:t>
            </w:r>
          </w:p>
        </w:tc>
      </w:tr>
      <w:tr>
        <w:trPr>
          <w:trHeight w:val="250"/>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400,429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396,788</w:t>
            </w:r>
          </w:p>
        </w:tc>
      </w:tr>
      <w:tr>
        <w:trPr>
          <w:trHeight w:val="27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11,348</w:t>
            </w: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Deferred commissions (net of current portion)</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35,973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36,162</w:t>
            </w:r>
          </w:p>
        </w:tc>
      </w:tr>
      <w:tr>
        <w:trPr>
          <w:trHeight w:val="27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8,504</w:t>
            </w:r>
          </w:p>
        </w:tc>
      </w:tr>
      <w:tr>
        <w:trPr>
          <w:trHeight w:val="264"/>
        </w:trPr>
        <w:tc>
          <w:tcPr>
            <w:tcW w:w="84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7,446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7,810</w:t>
            </w:r>
          </w:p>
        </w:tc>
      </w:tr>
      <w:tr>
        <w:trPr>
          <w:trHeight w:val="257"/>
        </w:trPr>
        <w:tc>
          <w:tcPr>
            <w:tcW w:w="8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466,391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460,612</w:t>
            </w:r>
          </w:p>
        </w:tc>
      </w:tr>
      <w:tr>
        <w:trPr>
          <w:trHeight w:val="20"/>
        </w:trPr>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5,554</w:t>
            </w: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29,594</w:t>
            </w: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214,508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213,644</w:t>
            </w: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4,262</w:t>
            </w:r>
          </w:p>
        </w:tc>
      </w:tr>
      <w:tr>
        <w:trPr>
          <w:trHeight w:val="264"/>
        </w:trPr>
        <w:tc>
          <w:tcPr>
            <w:tcW w:w="844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1,079</w:t>
            </w:r>
          </w:p>
        </w:tc>
      </w:tr>
      <w:tr>
        <w:trPr>
          <w:trHeight w:val="25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250,783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254,304</w:t>
            </w: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77,397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76,259</w:t>
            </w:r>
          </w:p>
        </w:tc>
      </w:tr>
      <w:tr>
        <w:trPr>
          <w:trHeight w:val="27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6,055</w:t>
            </w:r>
          </w:p>
        </w:tc>
      </w:tr>
      <w:tr>
        <w:trPr>
          <w:trHeight w:val="264"/>
        </w:trPr>
        <w:tc>
          <w:tcPr>
            <w:tcW w:w="84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2,536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2,231</w:t>
            </w:r>
          </w:p>
        </w:tc>
      </w:tr>
      <w:tr>
        <w:trPr>
          <w:trHeight w:val="25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338,182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338,849</w:t>
            </w:r>
          </w:p>
        </w:tc>
      </w:tr>
      <w:tr>
        <w:trPr>
          <w:trHeight w:val="284"/>
        </w:trPr>
        <w:tc>
          <w:tcPr>
            <w:tcW w:w="26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Common stock (par value: $0.01; 500,000 shares authorized; 96,203 and 93,126 shares issued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outstanding at March 31, 2019 and December 31, 2018, respectively)</w:t>
            </w:r>
          </w:p>
        </w:tc>
        <w:tc>
          <w:tcPr>
            <w:tcW w:w="16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931</w:t>
            </w: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614,774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586,940</w:t>
            </w: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(487,548)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(466,108)</w:t>
            </w:r>
          </w:p>
        </w:tc>
      </w:tr>
      <w:tr>
        <w:trPr>
          <w:trHeight w:val="250"/>
        </w:trPr>
        <w:tc>
          <w:tcPr>
            <w:tcW w:w="84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128,209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121,763</w:t>
            </w:r>
          </w:p>
        </w:tc>
      </w:tr>
      <w:tr>
        <w:trPr>
          <w:trHeight w:val="257"/>
        </w:trPr>
        <w:tc>
          <w:tcPr>
            <w:tcW w:w="8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466,391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460,612</w:t>
            </w:r>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80,301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59,107</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13,226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8,728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67,075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50,379</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52,689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39,588</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21,935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17,185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15,136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89,760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65,828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(15,449)</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Interest income (expense), net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(15,457)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(15,888)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(16,076)</w:t>
            </w: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82"/>
        </w:trPr>
        <w:tc>
          <w:tcPr>
            <w:tcW w:w="83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Weighted-average shares used to compute net loss per share attributable to common stockholders,</w:t>
            </w: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93,738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23,495</w:t>
            </w: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4" w:name="page5"/>
    <w:bookmarkEnd w:id="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0" w:type="dxa"/>
            <w:vAlign w:val="bottom"/>
          </w:tcPr>
          <w:p>
            <w:pPr>
              <w:spacing w:after="0"/>
              <w:rPr>
                <w:sz w:val="1"/>
                <w:szCs w:val="1"/>
                <w:color w:val="auto"/>
              </w:rPr>
            </w:pPr>
          </w:p>
        </w:tc>
      </w:tr>
      <w:tr>
        <w:trPr>
          <w:trHeight w:val="263"/>
        </w:trPr>
        <w:tc>
          <w:tcPr>
            <w:tcW w:w="48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gains on available-for-sale securities</w:t>
            </w:r>
          </w:p>
        </w:tc>
        <w:tc>
          <w:tcPr>
            <w:tcW w:w="34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w:t>
            </w:r>
          </w:p>
        </w:tc>
        <w:tc>
          <w:tcPr>
            <w:tcW w:w="34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8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5" w:name="page6"/>
    <w:bookmarkEnd w:id="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720" w:type="dxa"/>
            <w:vAlign w:val="bottom"/>
          </w:tcPr>
          <w:p>
            <w:pPr>
              <w:spacing w:after="0"/>
              <w:rPr>
                <w:sz w:val="21"/>
                <w:szCs w:val="21"/>
                <w:color w:val="auto"/>
              </w:rPr>
            </w:pPr>
          </w:p>
        </w:tc>
        <w:tc>
          <w:tcPr>
            <w:tcW w:w="3440" w:type="dxa"/>
            <w:vAlign w:val="bottom"/>
            <w:tcBorders>
              <w:right w:val="single" w:sz="8" w:color="auto"/>
            </w:tcBorders>
            <w:gridSpan w:val="10"/>
          </w:tcPr>
          <w:p>
            <w:pPr>
              <w:ind w:left="620"/>
              <w:spacing w:after="0"/>
              <w:rPr>
                <w:sz w:val="20"/>
                <w:szCs w:val="20"/>
                <w:color w:val="auto"/>
              </w:rPr>
            </w:pPr>
            <w:r>
              <w:rPr>
                <w:rFonts w:ascii="Arial" w:cs="Arial" w:eastAsia="Arial" w:hAnsi="Arial"/>
                <w:sz w:val="11"/>
                <w:szCs w:val="11"/>
                <w:b w:val="1"/>
                <w:bCs w:val="1"/>
                <w:color w:val="auto"/>
              </w:rPr>
              <w:t>Redeemable Convertible Preferred Stock</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Accumulated</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1660" w:type="dxa"/>
            <w:vAlign w:val="bottom"/>
            <w:gridSpan w:val="5"/>
          </w:tcPr>
          <w:p>
            <w:pPr>
              <w:ind w:left="560"/>
              <w:spacing w:after="0"/>
              <w:rPr>
                <w:sz w:val="20"/>
                <w:szCs w:val="20"/>
                <w:color w:val="auto"/>
              </w:rPr>
            </w:pPr>
            <w:r>
              <w:rPr>
                <w:rFonts w:ascii="Arial" w:cs="Arial" w:eastAsia="Arial" w:hAnsi="Arial"/>
                <w:sz w:val="11"/>
                <w:szCs w:val="11"/>
                <w:b w:val="1"/>
                <w:bCs w:val="1"/>
                <w:color w:val="auto"/>
              </w:rPr>
              <w:t>Series A</w:t>
            </w:r>
          </w:p>
        </w:tc>
        <w:tc>
          <w:tcPr>
            <w:tcW w:w="1780" w:type="dxa"/>
            <w:vAlign w:val="bottom"/>
            <w:tcBorders>
              <w:right w:val="single" w:sz="8" w:color="auto"/>
            </w:tcBorders>
            <w:gridSpan w:val="5"/>
          </w:tcPr>
          <w:p>
            <w:pPr>
              <w:ind w:left="620"/>
              <w:spacing w:after="0"/>
              <w:rPr>
                <w:sz w:val="20"/>
                <w:szCs w:val="20"/>
                <w:color w:val="auto"/>
              </w:rPr>
            </w:pPr>
            <w:r>
              <w:rPr>
                <w:rFonts w:ascii="Arial" w:cs="Arial" w:eastAsia="Arial" w:hAnsi="Arial"/>
                <w:sz w:val="11"/>
                <w:szCs w:val="11"/>
                <w:b w:val="1"/>
                <w:bCs w:val="1"/>
                <w:color w:val="auto"/>
              </w:rPr>
              <w:t>Series B</w:t>
            </w:r>
          </w:p>
        </w:tc>
        <w:tc>
          <w:tcPr>
            <w:tcW w:w="120" w:type="dxa"/>
            <w:vAlign w:val="bottom"/>
          </w:tcPr>
          <w:p>
            <w:pPr>
              <w:spacing w:after="0"/>
              <w:rPr>
                <w:sz w:val="23"/>
                <w:szCs w:val="23"/>
                <w:color w:val="auto"/>
              </w:rPr>
            </w:pPr>
          </w:p>
        </w:tc>
        <w:tc>
          <w:tcPr>
            <w:tcW w:w="1660" w:type="dxa"/>
            <w:vAlign w:val="bottom"/>
            <w:gridSpan w:val="5"/>
          </w:tcPr>
          <w:p>
            <w:pPr>
              <w:ind w:left="40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23"/>
                <w:szCs w:val="2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Additional</w:t>
            </w:r>
          </w:p>
        </w:tc>
        <w:tc>
          <w:tcPr>
            <w:tcW w:w="140" w:type="dxa"/>
            <w:vAlign w:val="bottom"/>
          </w:tcPr>
          <w:p>
            <w:pPr>
              <w:spacing w:after="0"/>
              <w:rPr>
                <w:sz w:val="23"/>
                <w:szCs w:val="2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center"/>
              <w:ind w:right="8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line="20" w:lineRule="exact"/>
              <w:rPr>
                <w:sz w:val="1"/>
                <w:szCs w:val="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line="20" w:lineRule="exact"/>
              <w:rPr>
                <w:sz w:val="1"/>
                <w:szCs w:val="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line="20" w:lineRule="exact"/>
              <w:rPr>
                <w:sz w:val="1"/>
                <w:szCs w:val="1"/>
                <w:color w:val="auto"/>
              </w:rPr>
            </w:pPr>
          </w:p>
        </w:tc>
        <w:tc>
          <w:tcPr>
            <w:tcW w:w="98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13"/>
        </w:trPr>
        <w:tc>
          <w:tcPr>
            <w:tcW w:w="1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40"/>
              <w:spacing w:after="0"/>
              <w:rPr>
                <w:sz w:val="20"/>
                <w:szCs w:val="20"/>
                <w:color w:val="auto"/>
              </w:rPr>
            </w:pPr>
            <w:r>
              <w:rPr>
                <w:rFonts w:ascii="Arial" w:cs="Arial" w:eastAsia="Arial" w:hAnsi="Arial"/>
                <w:sz w:val="11"/>
                <w:szCs w:val="11"/>
                <w:b w:val="1"/>
                <w:bCs w:val="1"/>
                <w:color w:val="auto"/>
              </w:rPr>
              <w:t>(in thousands)</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820" w:type="dxa"/>
            <w:vAlign w:val="bottom"/>
            <w:tcBorders>
              <w:right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90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Deficit</w:t>
            </w:r>
          </w:p>
        </w:tc>
        <w:tc>
          <w:tcPr>
            <w:tcW w:w="140" w:type="dxa"/>
            <w:vAlign w:val="bottom"/>
          </w:tcPr>
          <w:p>
            <w:pPr>
              <w:spacing w:after="0"/>
              <w:rPr>
                <w:sz w:val="12"/>
                <w:szCs w:val="12"/>
                <w:color w:val="auto"/>
              </w:rPr>
            </w:pPr>
          </w:p>
        </w:tc>
        <w:tc>
          <w:tcPr>
            <w:tcW w:w="980" w:type="dxa"/>
            <w:vAlign w:val="bottom"/>
          </w:tcPr>
          <w:p>
            <w:pPr>
              <w:jc w:val="center"/>
              <w:ind w:right="86"/>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December 31, 2018</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93,126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586,940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(466,108)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121,763</w:t>
            </w:r>
          </w:p>
        </w:tc>
        <w:tc>
          <w:tcPr>
            <w:tcW w:w="0" w:type="dxa"/>
            <w:vAlign w:val="bottom"/>
          </w:tcPr>
          <w:p>
            <w:pPr>
              <w:spacing w:after="0"/>
              <w:rPr>
                <w:sz w:val="1"/>
                <w:szCs w:val="1"/>
                <w:color w:val="auto"/>
              </w:rPr>
            </w:pPr>
          </w:p>
        </w:tc>
      </w:tr>
      <w:tr>
        <w:trPr>
          <w:trHeight w:val="248"/>
        </w:trPr>
        <w:tc>
          <w:tcPr>
            <w:tcW w:w="1720" w:type="dxa"/>
            <w:vAlign w:val="bottom"/>
          </w:tcPr>
          <w:p>
            <w:pPr>
              <w:ind w:left="40"/>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2,638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9,852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9,878</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720" w:type="dxa"/>
            <w:vAlign w:val="bottom"/>
            <w:shd w:val="clear" w:color="auto" w:fill="CCEEFF"/>
          </w:tcPr>
          <w:p>
            <w:pPr>
              <w:ind w:left="40"/>
              <w:spacing w:after="0"/>
              <w:rPr>
                <w:sz w:val="20"/>
                <w:szCs w:val="20"/>
                <w:color w:val="auto"/>
              </w:rPr>
            </w:pPr>
            <w:r>
              <w:rPr>
                <w:rFonts w:ascii="Arial" w:cs="Arial" w:eastAsia="Arial" w:hAnsi="Arial"/>
                <w:sz w:val="11"/>
                <w:szCs w:val="11"/>
                <w:color w:val="auto"/>
              </w:rPr>
              <w:t>Issuance of common stock under</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employee stock purchase plan</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8,574</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8,579</w:t>
            </w:r>
          </w:p>
        </w:tc>
        <w:tc>
          <w:tcPr>
            <w:tcW w:w="0" w:type="dxa"/>
            <w:vAlign w:val="bottom"/>
          </w:tcPr>
          <w:p>
            <w:pPr>
              <w:spacing w:after="0"/>
              <w:rPr>
                <w:sz w:val="1"/>
                <w:szCs w:val="1"/>
                <w:color w:val="auto"/>
              </w:rPr>
            </w:pPr>
          </w:p>
        </w:tc>
      </w:tr>
      <w:tr>
        <w:trPr>
          <w:trHeight w:val="248"/>
        </w:trPr>
        <w:tc>
          <w:tcPr>
            <w:tcW w:w="1720" w:type="dxa"/>
            <w:vAlign w:val="bottom"/>
          </w:tcPr>
          <w:p>
            <w:pPr>
              <w:ind w:left="40"/>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9,408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9,408</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comprehensive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48"/>
        </w:trPr>
        <w:tc>
          <w:tcPr>
            <w:tcW w:w="1720" w:type="dxa"/>
            <w:vAlign w:val="bottom"/>
          </w:tcPr>
          <w:p>
            <w:pPr>
              <w:ind w:left="40"/>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(21,440)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(21,440)</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2019</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96,203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614,774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(487,548)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128,209</w:t>
            </w:r>
          </w:p>
        </w:tc>
        <w:tc>
          <w:tcPr>
            <w:tcW w:w="0" w:type="dxa"/>
            <w:vAlign w:val="bottom"/>
          </w:tcPr>
          <w:p>
            <w:pPr>
              <w:spacing w:after="0"/>
              <w:rPr>
                <w:sz w:val="1"/>
                <w:szCs w:val="1"/>
                <w:color w:val="auto"/>
              </w:rPr>
            </w:pPr>
          </w:p>
        </w:tc>
      </w:tr>
      <w:tr>
        <w:trPr>
          <w:trHeight w:val="318"/>
        </w:trPr>
        <w:tc>
          <w:tcPr>
            <w:tcW w:w="172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December 31, 2017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15,848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49,935</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39,538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227,800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24,472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(392,587)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(371,665)</w:t>
            </w:r>
          </w:p>
        </w:tc>
        <w:tc>
          <w:tcPr>
            <w:tcW w:w="0" w:type="dxa"/>
            <w:vAlign w:val="bottom"/>
          </w:tcPr>
          <w:p>
            <w:pPr>
              <w:spacing w:after="0"/>
              <w:rPr>
                <w:sz w:val="1"/>
                <w:szCs w:val="1"/>
                <w:color w:val="auto"/>
              </w:rPr>
            </w:pPr>
          </w:p>
        </w:tc>
      </w:tr>
      <w:tr>
        <w:trPr>
          <w:trHeight w:val="145"/>
        </w:trPr>
        <w:tc>
          <w:tcPr>
            <w:tcW w:w="1720" w:type="dxa"/>
            <w:vAlign w:val="bottom"/>
          </w:tcPr>
          <w:p>
            <w:pPr>
              <w:ind w:left="40"/>
              <w:spacing w:after="0"/>
              <w:rPr>
                <w:sz w:val="20"/>
                <w:szCs w:val="20"/>
                <w:color w:val="auto"/>
              </w:rPr>
            </w:pPr>
            <w:r>
              <w:rPr>
                <w:rFonts w:ascii="Arial" w:cs="Arial" w:eastAsia="Arial" w:hAnsi="Arial"/>
                <w:sz w:val="11"/>
                <w:szCs w:val="11"/>
                <w:color w:val="auto"/>
              </w:rPr>
              <w:t>Accretion of Series A and B</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redeemable convertible</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20" w:type="dxa"/>
            <w:vAlign w:val="bottom"/>
          </w:tcPr>
          <w:p>
            <w:pPr>
              <w:ind w:left="120"/>
              <w:spacing w:after="0"/>
              <w:rPr>
                <w:sz w:val="20"/>
                <w:szCs w:val="20"/>
                <w:color w:val="auto"/>
              </w:rPr>
            </w:pPr>
            <w:r>
              <w:rPr>
                <w:rFonts w:ascii="Arial" w:cs="Arial" w:eastAsia="Arial" w:hAnsi="Arial"/>
                <w:sz w:val="11"/>
                <w:szCs w:val="11"/>
                <w:color w:val="auto"/>
              </w:rPr>
              <w:t>preferred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183</w:t>
            </w: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(188)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Exercise of stock options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479</w:t>
            </w:r>
          </w:p>
        </w:tc>
        <w:tc>
          <w:tcPr>
            <w:tcW w:w="0" w:type="dxa"/>
            <w:vAlign w:val="bottom"/>
          </w:tcPr>
          <w:p>
            <w:pPr>
              <w:spacing w:after="0"/>
              <w:rPr>
                <w:sz w:val="1"/>
                <w:szCs w:val="1"/>
                <w:color w:val="auto"/>
              </w:rPr>
            </w:pPr>
          </w:p>
        </w:tc>
      </w:tr>
      <w:tr>
        <w:trPr>
          <w:trHeight w:val="248"/>
        </w:trPr>
        <w:tc>
          <w:tcPr>
            <w:tcW w:w="1720" w:type="dxa"/>
            <w:vAlign w:val="bottom"/>
          </w:tcPr>
          <w:p>
            <w:pPr>
              <w:ind w:left="40"/>
              <w:spacing w:after="0"/>
              <w:rPr>
                <w:sz w:val="20"/>
                <w:szCs w:val="20"/>
                <w:color w:val="auto"/>
              </w:rPr>
            </w:pPr>
            <w:r>
              <w:rPr>
                <w:rFonts w:ascii="Arial" w:cs="Arial" w:eastAsia="Arial" w:hAnsi="Arial"/>
                <w:sz w:val="11"/>
                <w:szCs w:val="11"/>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2,399</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(15,888)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(15,888)</w:t>
            </w:r>
          </w:p>
        </w:tc>
        <w:tc>
          <w:tcPr>
            <w:tcW w:w="0" w:type="dxa"/>
            <w:vAlign w:val="bottom"/>
          </w:tcPr>
          <w:p>
            <w:pPr>
              <w:spacing w:after="0"/>
              <w:rPr>
                <w:sz w:val="1"/>
                <w:szCs w:val="1"/>
                <w:color w:val="auto"/>
              </w:rPr>
            </w:pPr>
          </w:p>
        </w:tc>
      </w:tr>
      <w:tr>
        <w:trPr>
          <w:trHeight w:val="232"/>
        </w:trPr>
        <w:tc>
          <w:tcPr>
            <w:tcW w:w="1720" w:type="dxa"/>
            <w:vAlign w:val="bottom"/>
          </w:tcPr>
          <w:p>
            <w:pPr>
              <w:ind w:left="40"/>
              <w:spacing w:after="0"/>
              <w:rPr>
                <w:sz w:val="20"/>
                <w:szCs w:val="20"/>
                <w:color w:val="auto"/>
              </w:rPr>
            </w:pPr>
            <w:r>
              <w:rPr>
                <w:rFonts w:ascii="Arial" w:cs="Arial" w:eastAsia="Arial" w:hAnsi="Arial"/>
                <w:sz w:val="11"/>
                <w:szCs w:val="11"/>
                <w:b w:val="1"/>
                <w:bCs w:val="1"/>
                <w:color w:val="auto"/>
              </w:rPr>
              <w:t>Balance at March 31, 2018</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15,848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49,940</w:t>
            </w: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39,538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227,983</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24,794</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249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23,363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(408,475)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(384,863)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6" w:name="page7"/>
    <w:bookmarkEnd w:id="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(21,440)</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(15,888)</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1,454</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2,399</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11,104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7,792</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Deferred commissions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2,612</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4,797</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243"/>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(1,596)</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Sales and maturities of short-term investments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41,750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43"/>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Principal payments under finance lease obligations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Proceeds from the exercise of stock options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9,878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18,453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165,378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27,472</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and restricted cash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168,228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26,686</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8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 related to leases: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cash payments for operating leases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Operating cash payments for finance leases</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cash payments for finance leases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4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40" w:right="239" w:bottom="1440" w:gutter="0" w:footer="0" w:header="0"/>
          <w:type w:val="continuous"/>
        </w:sectPr>
      </w:pPr>
    </w:p>
    <w:bookmarkStart w:id="7" w:name="page8"/>
    <w:bookmarkEnd w:id="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47"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Tenable Holdings, Inc. (the “Company,” “we,” "us," or “our”) is a provider of Cyber Exposure solutions, which is a discipline for managing and measuring cybersecurity risk in the digital era. Our enterprise software platform enables broad visibility into an organization’s cyber exposure across the modern attack surface and deep insights that help organizations translate technical data into business insights to understand and reduce their cybersecurity risk.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All intercompany accounts and transactions have been eliminated in consolidation.</w:t>
      </w:r>
    </w:p>
    <w:p>
      <w:pPr>
        <w:spacing w:after="0" w:line="19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consolidated financial statements have been prepared in conformity with United States generally accepted accounting principles (“GAAP”) for interim financial information. The consolidated statements are unaudited and should be read in conjunction with the consolidated financial statements and related notes included in our 2018 Annual Report on Form 10-K ("10-K") filed with the Securities and Exchange Commission on March 1, 2019.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w:t>
      </w:r>
    </w:p>
    <w:p>
      <w:pPr>
        <w:spacing w:after="0" w:line="20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The results for the three months ended March 31, 2019 are not necessarily indicative of the operating results expected for the year ending December 31, 2019 or any other future period.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On July 30, 2018, we completed our initial public offering ("IPO"), in which we issued and sold 12,535,000 shares of common stock at a price to the public of $23.00 per share, including 1,635,000 shares of common stock purchased by our underwriters from the full exercise of their over-allotment option. All of the shares sold in the IPO were sold by the Company. We received net proceeds of $264.6 million after deducting underwriting discounts and commissions and other offering expenses.</w:t>
      </w:r>
    </w:p>
    <w:p>
      <w:pPr>
        <w:spacing w:after="0" w:line="204" w:lineRule="exact"/>
        <w:rPr>
          <w:sz w:val="20"/>
          <w:szCs w:val="20"/>
          <w:color w:val="auto"/>
        </w:rPr>
      </w:pPr>
    </w:p>
    <w:p>
      <w:pPr>
        <w:ind w:right="800" w:firstLine="324"/>
        <w:spacing w:after="0" w:line="250" w:lineRule="auto"/>
        <w:rPr>
          <w:sz w:val="20"/>
          <w:szCs w:val="20"/>
          <w:color w:val="auto"/>
        </w:rPr>
      </w:pPr>
      <w:r>
        <w:rPr>
          <w:rFonts w:ascii="Arial" w:cs="Arial" w:eastAsia="Arial" w:hAnsi="Arial"/>
          <w:sz w:val="18"/>
          <w:szCs w:val="18"/>
          <w:color w:val="auto"/>
        </w:rPr>
        <w:t>Upon the completion of our IPO, all 15,847,500 shares of our Series A Redeemable Convertible Preferred Stock ("Series A") and 39,538,354 shares of our Series B Redeemable Convertible Preferred Stock ("Series B") automatically converted into an aggregate</w:t>
      </w:r>
    </w:p>
    <w:p>
      <w:pPr>
        <w:spacing w:after="0" w:line="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of 55,385,854 shares of our common stock. Our newly adopted Amended and Restated Certificate of Incorporation authorizes a total of 500,000,000 shares of common stock and 10,000,000 shares of preferred stock.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useful lives of long-lived assets, the valuation of stock-based compensation, including the estimated underlying fair value of our common stock prior to our IPO, the incremental borrowing rate for operating leases, and the valuation of deferred tax assets. We base these estimates on historical experience and on various other assumptions that we believe to be reasonable. Actual results could differ significantly from these estimates.</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40" w:right="279" w:bottom="1440" w:gutter="0" w:footer="0" w:header="0"/>
        </w:sectPr>
      </w:pPr>
    </w:p>
    <w:bookmarkStart w:id="8" w:name="page9"/>
    <w:bookmarkEnd w:id="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780" w:firstLine="324"/>
        <w:spacing w:after="0" w:line="291" w:lineRule="auto"/>
        <w:rPr>
          <w:sz w:val="20"/>
          <w:szCs w:val="20"/>
          <w:color w:val="auto"/>
        </w:rPr>
      </w:pPr>
      <w:r>
        <w:rPr>
          <w:rFonts w:ascii="Arial" w:cs="Arial" w:eastAsia="Arial" w:hAnsi="Arial"/>
          <w:sz w:val="17"/>
          <w:szCs w:val="17"/>
          <w:color w:val="auto"/>
        </w:rPr>
        <w:t>We recognize revenue in order to depict the transfer of promised goods or services to customers in an amount that reflects the consideration to which we expect to be entitled in exchange for those goods or services. To achieve this, we apply the following steps:</w:t>
      </w:r>
    </w:p>
    <w:p>
      <w:pPr>
        <w:spacing w:after="0" w:line="93" w:lineRule="exact"/>
        <w:rPr>
          <w:sz w:val="20"/>
          <w:szCs w:val="20"/>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39"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257"/>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Subscription revenue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64,737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44,332</w:t>
            </w:r>
          </w:p>
        </w:tc>
      </w:tr>
      <w:tr>
        <w:trPr>
          <w:trHeight w:val="263"/>
        </w:trPr>
        <w:tc>
          <w:tcPr>
            <w:tcW w:w="8280" w:type="dxa"/>
            <w:vAlign w:val="bottom"/>
          </w:tcPr>
          <w:p>
            <w:pPr>
              <w:ind w:left="40"/>
              <w:spacing w:after="0"/>
              <w:rPr>
                <w:sz w:val="20"/>
                <w:szCs w:val="20"/>
                <w:color w:val="auto"/>
              </w:rPr>
            </w:pPr>
            <w:r>
              <w:rPr>
                <w:rFonts w:ascii="Arial" w:cs="Arial" w:eastAsia="Arial" w:hAnsi="Arial"/>
                <w:sz w:val="18"/>
                <w:szCs w:val="18"/>
                <w:color w:val="auto"/>
              </w:rPr>
              <w:t>Perpetual license and maintenance revenue</w:t>
            </w:r>
          </w:p>
        </w:tc>
        <w:tc>
          <w:tcPr>
            <w:tcW w:w="2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13,527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13,477</w:t>
            </w: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services and other revenue</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1,298</w:t>
            </w:r>
          </w:p>
        </w:tc>
      </w:tr>
      <w:tr>
        <w:trPr>
          <w:trHeight w:val="257"/>
        </w:trPr>
        <w:tc>
          <w:tcPr>
            <w:tcW w:w="8280" w:type="dxa"/>
            <w:vAlign w:val="bottom"/>
          </w:tcPr>
          <w:p>
            <w:pPr>
              <w:ind w:left="2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80,301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59,107</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Revenue</w:t>
      </w:r>
    </w:p>
    <w:p>
      <w:pPr>
        <w:spacing w:after="0" w:line="24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Subscription arrangements generally have annual or multi-year contractual terms and allow customers to use our software or cloud solutions, including ongoing software updates and the ability to identify the latest cybersecurity vulnerabilities. Revenue is recognized ratably over the subscription term given the critical utility provided by the ongoing updates that are released throughout the contract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4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9" w:name="page10"/>
    <w:bookmarkEnd w:id="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w:t>
      </w:r>
    </w:p>
    <w:p>
      <w:pPr>
        <w:spacing w:after="0" w:line="24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4"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Concentrations</w:t>
      </w:r>
    </w:p>
    <w:p>
      <w:pPr>
        <w:spacing w:after="0" w:line="24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sell our products and services through a channel network of distributors and resellers, along with our own sales teams. We derived 90% and 86% of revenue through our channel network in the three months ended March 31, 2019 and 2018, respectively. One of our distributors accounted for 44% and 45% of revenue in the three months ended March 31, 2019 and 2018, respectively. That same distributor accounted for 45% and 46% of accounts receivable at March 31, 2019 and December 31, 2018,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Balances</w:t>
      </w:r>
    </w:p>
    <w:p>
      <w:pPr>
        <w:spacing w:after="0" w:line="24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months ended March 31, 2019 and 2018, we recognized revenue of $74.6 million and $54.2 million, respectively, that was included in the deferred revenue balance at the beginning of each of the respective periods.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Remaining Performance Obligations</w:t>
      </w:r>
    </w:p>
    <w:p>
      <w:pPr>
        <w:spacing w:after="0" w:line="243"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At March 31, 2019, the future estimated revenue related to unsatisfied performance obligations was $295.3 million, with 73% expected to be recognized as revenue over the succeeding twelve months, and the remainder expected to be recognized over the four years thereafter.</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47" w:lineRule="exact"/>
        <w:rPr>
          <w:sz w:val="20"/>
          <w:szCs w:val="20"/>
          <w:color w:val="auto"/>
        </w:rPr>
      </w:pPr>
    </w:p>
    <w:p>
      <w:pPr>
        <w:ind w:right="380" w:firstLine="324"/>
        <w:spacing w:after="0" w:line="254" w:lineRule="auto"/>
        <w:rPr>
          <w:sz w:val="20"/>
          <w:szCs w:val="20"/>
          <w:color w:val="auto"/>
        </w:rPr>
      </w:pPr>
      <w:r>
        <w:rPr>
          <w:rFonts w:ascii="Arial" w:cs="Arial" w:eastAsia="Arial" w:hAnsi="Arial"/>
          <w:sz w:val="18"/>
          <w:szCs w:val="18"/>
          <w:color w:val="auto"/>
        </w:rPr>
        <w:t>We currently invest in commercial paper, corporate bonds and U.S. treasury and agency obligations. Our investments are classified as available-for-sale and recorded at fair value, with unrealized gains and losses reported in accumulated other comprehensive income (loss) within stockholders’ equity (deficit). We periodically review our investment portfolio to determine whether investments have indicators of possible impairment.</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0" w:right="259" w:bottom="1440" w:gutter="0" w:footer="0" w:header="0"/>
        </w:sectPr>
      </w:pPr>
    </w:p>
    <w:bookmarkStart w:id="10" w:name="page11"/>
    <w:bookmarkEnd w:id="1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 in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59,434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50,176</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Capitalization of contract acquisition costs</w:t>
            </w: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6,626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5,147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deferred contract acquisition costs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59,811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50,451</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of deferred contract acquisition costs is included in sales and marketing expense in the consolidated statements of operations.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29" w:lineRule="exact"/>
        <w:rPr>
          <w:sz w:val="20"/>
          <w:szCs w:val="20"/>
          <w:color w:val="auto"/>
        </w:rPr>
      </w:pPr>
    </w:p>
    <w:p>
      <w:pPr>
        <w:ind w:right="260" w:firstLine="324"/>
        <w:spacing w:after="0" w:line="266" w:lineRule="auto"/>
        <w:rPr>
          <w:sz w:val="20"/>
          <w:szCs w:val="20"/>
          <w:color w:val="auto"/>
        </w:rPr>
      </w:pPr>
      <w:r>
        <w:rPr>
          <w:rFonts w:ascii="Arial" w:cs="Arial" w:eastAsia="Arial" w:hAnsi="Arial"/>
          <w:sz w:val="18"/>
          <w:szCs w:val="18"/>
          <w:color w:val="auto"/>
        </w:rPr>
        <w:t xml:space="preserve">We early adopted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as of January 1, 2018 using the modified retrospective method. We elected the package of practical expedients as permitted under the transition guidance, which allowed us to not reassess whether arrangements contain leases, not reassess lease classification, and not reassess initial direct costs.</w:t>
      </w:r>
    </w:p>
    <w:p>
      <w:pPr>
        <w:spacing w:after="0" w:line="19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impact of the adoption of ASC 842 on previously reported interim financial statements included the recognition of right-of-use ("ROU") assets and lease liabilities, as well as the derecognition of the construction-in-progress and construction financing obligation. There was no material impact to previously reported results of operations for any interim period.</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determine if an arrangement contains a lease and the classification of that lease, if applicable, at inception. We have elected to not recognize a lease liability or ROU asset for short-term leases (leases with a term of twelve months or less). For contracts with lease and non-lease components, we have elected to not allocate the contract consideration, and account for the lease and non-lease components as a single lease component. Additionally, we enter into arrangements to use shared office spaces and other facilities, and have determined that these arrangements do not contain leases as we do not have the right to use an identified asset. Operating leases are included in operating lease ROU assets, operating lease liabilities and operating lease liabilities (net of current portion) in our consolidated balance sheets. Finance leases are included in property and equipment, other current liabilities and other liabilities in our consolidated balance sheets.</w:t>
      </w:r>
    </w:p>
    <w:p>
      <w:pPr>
        <w:spacing w:after="0" w:line="207"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we use our incremental borrowing rate at the lease commencement date to determine the present value of lease payments. The determination of our incremental borrowing rate requires judgment. We determine our incremental borrowing rate for each lease using our current borrowing rate, adjusted for various factors including level of collateralization, term and currency to align with the terms of the lease. The operating lease ROU asset also includes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1" w:name="page12"/>
    <w:bookmarkEnd w:id="1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In June 2016, the Financial Accounting Standards Board issued ASU No. 2016-13 -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This ASU amends guidance on reporting credit losses for assets held at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cost basis and available-for-sale debt securities to require that credit losses on available-for-sale debt securities be presented as an allowance rather than as a write-down. The measurement of credit losses for newly recognized financial assets and subsequent changes in the allowance for credit losses are recorded in the statements of operations. This guidance is effective for us beginning January 1, 2020, with early adoption permitted, and will be adopted using the modified-retrospective method. We are currently evaluating the potential impact of this standard on our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Cash and Cash Equivalents and Short-Term Investments</w:t>
      </w:r>
    </w:p>
    <w:p>
      <w:pPr>
        <w:spacing w:after="0" w:line="247" w:lineRule="exact"/>
        <w:rPr>
          <w:sz w:val="20"/>
          <w:szCs w:val="20"/>
          <w:color w:val="auto"/>
        </w:rPr>
      </w:pPr>
    </w:p>
    <w:p>
      <w:pPr>
        <w:ind w:right="400" w:firstLine="405"/>
        <w:spacing w:after="0" w:line="262" w:lineRule="auto"/>
        <w:rPr>
          <w:sz w:val="20"/>
          <w:szCs w:val="20"/>
          <w:color w:val="auto"/>
        </w:rPr>
      </w:pPr>
      <w:r>
        <w:rPr>
          <w:rFonts w:ascii="Arial" w:cs="Arial" w:eastAsia="Arial" w:hAnsi="Arial"/>
          <w:sz w:val="18"/>
          <w:szCs w:val="18"/>
          <w:color w:val="auto"/>
        </w:rPr>
        <w:t>At March 31, 2019 and December 31, 2018, cash and cash equivalents excluded $0.3 million of restricted cash, which is related to an account established as collateral for a lease arrangement and was included in other assets on the consolidated balance sheets.</w:t>
      </w:r>
    </w:p>
    <w:p>
      <w:pPr>
        <w:spacing w:after="0" w:line="196"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 term investments: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6"/>
                <w:szCs w:val="16"/>
                <w:b w:val="1"/>
                <w:bCs w:val="1"/>
                <w:color w:val="auto"/>
              </w:rPr>
              <w:t>March 31, 2019</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2"/>
              <w:spacing w:after="0"/>
              <w:rPr>
                <w:sz w:val="20"/>
                <w:szCs w:val="20"/>
                <w:color w:val="auto"/>
              </w:rPr>
            </w:pPr>
            <w:r>
              <w:rPr>
                <w:rFonts w:ascii="Arial" w:cs="Arial" w:eastAsia="Arial" w:hAnsi="Arial"/>
                <w:sz w:val="16"/>
                <w:szCs w:val="16"/>
                <w:b w:val="1"/>
                <w:bCs w:val="1"/>
                <w:color w:val="auto"/>
              </w:rPr>
              <w:t>Estimated Fair</w:t>
            </w:r>
          </w:p>
        </w:tc>
      </w:tr>
      <w:tr>
        <w:trPr>
          <w:trHeight w:val="228"/>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Unrealized Gain</w:t>
            </w:r>
          </w:p>
        </w:tc>
        <w:tc>
          <w:tcPr>
            <w:tcW w:w="1600" w:type="dxa"/>
            <w:vAlign w:val="bottom"/>
            <w:gridSpan w:val="3"/>
          </w:tcPr>
          <w:p>
            <w:pPr>
              <w:ind w:left="120"/>
              <w:spacing w:after="0"/>
              <w:rPr>
                <w:sz w:val="20"/>
                <w:szCs w:val="20"/>
                <w:color w:val="auto"/>
              </w:rPr>
            </w:pPr>
            <w:r>
              <w:rPr>
                <w:rFonts w:ascii="Arial" w:cs="Arial" w:eastAsia="Arial" w:hAnsi="Arial"/>
                <w:sz w:val="16"/>
                <w:szCs w:val="16"/>
                <w:b w:val="1"/>
                <w:bCs w:val="1"/>
                <w:color w:val="auto"/>
              </w:rPr>
              <w:t>Unrealized Loss</w:t>
            </w:r>
          </w:p>
        </w:tc>
        <w:tc>
          <w:tcPr>
            <w:tcW w:w="160" w:type="dxa"/>
            <w:vAlign w:val="bottom"/>
          </w:tcPr>
          <w:p>
            <w:pPr>
              <w:spacing w:after="0"/>
              <w:rPr>
                <w:sz w:val="19"/>
                <w:szCs w:val="19"/>
                <w:color w:val="auto"/>
              </w:rPr>
            </w:pPr>
          </w:p>
        </w:tc>
        <w:tc>
          <w:tcPr>
            <w:tcW w:w="1320" w:type="dxa"/>
            <w:vAlign w:val="bottom"/>
          </w:tcPr>
          <w:p>
            <w:pPr>
              <w:jc w:val="center"/>
              <w:ind w:right="92"/>
              <w:spacing w:after="0"/>
              <w:rPr>
                <w:sz w:val="20"/>
                <w:szCs w:val="20"/>
                <w:color w:val="auto"/>
              </w:rPr>
            </w:pPr>
            <w:r>
              <w:rPr>
                <w:rFonts w:ascii="Arial" w:cs="Arial" w:eastAsia="Arial" w:hAnsi="Arial"/>
                <w:sz w:val="16"/>
                <w:szCs w:val="16"/>
                <w:b w:val="1"/>
                <w:bCs w:val="1"/>
                <w:color w:val="auto"/>
                <w:w w:val="98"/>
              </w:rPr>
              <w:t>Value</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20,732</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4,489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4,489</w:t>
            </w: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cash equivalents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25,221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66,166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66,166</w:t>
            </w: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12,678</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and agency obligations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52,160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52,170</w:t>
            </w: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short-term investments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130,993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131,014</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95"/>
        </w:trPr>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6"/>
                <w:szCs w:val="16"/>
                <w:b w:val="1"/>
                <w:bCs w:val="1"/>
                <w:color w:val="auto"/>
              </w:rPr>
              <w:t>December 31, 2018</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8"/>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2"/>
              <w:spacing w:after="0"/>
              <w:rPr>
                <w:sz w:val="20"/>
                <w:szCs w:val="20"/>
                <w:color w:val="auto"/>
              </w:rPr>
            </w:pPr>
            <w:r>
              <w:rPr>
                <w:rFonts w:ascii="Arial" w:cs="Arial" w:eastAsia="Arial" w:hAnsi="Arial"/>
                <w:sz w:val="16"/>
                <w:szCs w:val="16"/>
                <w:b w:val="1"/>
                <w:bCs w:val="1"/>
                <w:color w:val="auto"/>
              </w:rPr>
              <w:t>Estimated Fair</w:t>
            </w:r>
          </w:p>
        </w:tc>
      </w:tr>
      <w:tr>
        <w:trPr>
          <w:trHeight w:val="228"/>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Unrealized Gain</w:t>
            </w:r>
          </w:p>
        </w:tc>
        <w:tc>
          <w:tcPr>
            <w:tcW w:w="1600" w:type="dxa"/>
            <w:vAlign w:val="bottom"/>
            <w:gridSpan w:val="3"/>
          </w:tcPr>
          <w:p>
            <w:pPr>
              <w:ind w:left="120"/>
              <w:spacing w:after="0"/>
              <w:rPr>
                <w:sz w:val="20"/>
                <w:szCs w:val="20"/>
                <w:color w:val="auto"/>
              </w:rPr>
            </w:pPr>
            <w:r>
              <w:rPr>
                <w:rFonts w:ascii="Arial" w:cs="Arial" w:eastAsia="Arial" w:hAnsi="Arial"/>
                <w:sz w:val="16"/>
                <w:szCs w:val="16"/>
                <w:b w:val="1"/>
                <w:bCs w:val="1"/>
                <w:color w:val="auto"/>
              </w:rPr>
              <w:t>Unrealized Loss</w:t>
            </w:r>
          </w:p>
        </w:tc>
        <w:tc>
          <w:tcPr>
            <w:tcW w:w="160" w:type="dxa"/>
            <w:vAlign w:val="bottom"/>
          </w:tcPr>
          <w:p>
            <w:pPr>
              <w:spacing w:after="0"/>
              <w:rPr>
                <w:sz w:val="19"/>
                <w:szCs w:val="19"/>
                <w:color w:val="auto"/>
              </w:rPr>
            </w:pPr>
          </w:p>
        </w:tc>
        <w:tc>
          <w:tcPr>
            <w:tcW w:w="1320" w:type="dxa"/>
            <w:vAlign w:val="bottom"/>
          </w:tcPr>
          <w:p>
            <w:pPr>
              <w:jc w:val="center"/>
              <w:ind w:right="92"/>
              <w:spacing w:after="0"/>
              <w:rPr>
                <w:sz w:val="20"/>
                <w:szCs w:val="20"/>
                <w:color w:val="auto"/>
              </w:rPr>
            </w:pPr>
            <w:r>
              <w:rPr>
                <w:rFonts w:ascii="Arial" w:cs="Arial" w:eastAsia="Arial" w:hAnsi="Arial"/>
                <w:sz w:val="16"/>
                <w:szCs w:val="16"/>
                <w:b w:val="1"/>
                <w:bCs w:val="1"/>
                <w:color w:val="auto"/>
                <w:w w:val="98"/>
              </w:rPr>
              <w:t>Value</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38,022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38,022</w:t>
            </w:r>
          </w:p>
        </w:tc>
      </w:tr>
      <w:tr>
        <w:trPr>
          <w:trHeight w:val="297"/>
        </w:trPr>
        <w:tc>
          <w:tcPr>
            <w:tcW w:w="5260" w:type="dxa"/>
            <w:vAlign w:val="bottom"/>
          </w:tcPr>
          <w:p>
            <w:pPr>
              <w:ind w:left="280"/>
              <w:spacing w:after="0"/>
              <w:rPr>
                <w:sz w:val="20"/>
                <w:szCs w:val="20"/>
                <w:color w:val="auto"/>
              </w:rPr>
            </w:pPr>
            <w:r>
              <w:rPr>
                <w:rFonts w:ascii="Arial" w:cs="Arial" w:eastAsia="Arial" w:hAnsi="Arial"/>
                <w:sz w:val="18"/>
                <w:szCs w:val="18"/>
                <w:color w:val="auto"/>
              </w:rPr>
              <w:t>Total cash equivalents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38,022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38,022</w:t>
            </w:r>
          </w:p>
        </w:tc>
      </w:tr>
      <w:tr>
        <w:trPr>
          <w:trHeight w:val="305"/>
        </w:trPr>
        <w:tc>
          <w:tcPr>
            <w:tcW w:w="526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79,634</w:t>
            </w:r>
          </w:p>
        </w:tc>
      </w:tr>
      <w:tr>
        <w:trPr>
          <w:trHeight w:val="263"/>
        </w:trPr>
        <w:tc>
          <w:tcPr>
            <w:tcW w:w="526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16,119</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and agency obligations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22,366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22,366</w:t>
            </w:r>
          </w:p>
        </w:tc>
      </w:tr>
      <w:tr>
        <w:trPr>
          <w:trHeight w:val="257"/>
        </w:trPr>
        <w:tc>
          <w:tcPr>
            <w:tcW w:w="5260" w:type="dxa"/>
            <w:vAlign w:val="bottom"/>
          </w:tcPr>
          <w:p>
            <w:pPr>
              <w:ind w:left="280"/>
              <w:spacing w:after="0"/>
              <w:rPr>
                <w:sz w:val="20"/>
                <w:szCs w:val="20"/>
                <w:color w:val="auto"/>
              </w:rPr>
            </w:pPr>
            <w:r>
              <w:rPr>
                <w:rFonts w:ascii="Arial" w:cs="Arial" w:eastAsia="Arial" w:hAnsi="Arial"/>
                <w:sz w:val="18"/>
                <w:szCs w:val="18"/>
                <w:color w:val="auto"/>
              </w:rPr>
              <w:t>Total short-term investments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118,119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118,119</w:t>
            </w: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2" w:name="page13"/>
    <w:bookmarkEnd w:id="1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At March 31, 2019 and December 31, 2018, all of our short-term investments had maturities within the next twelve months, and none of our short-term investments were in an unrealized loss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47"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63" w:lineRule="exact"/>
        <w:rPr>
          <w:rFonts w:ascii="Arial" w:cs="Arial" w:eastAsia="Arial" w:hAnsi="Arial"/>
          <w:sz w:val="18"/>
          <w:szCs w:val="18"/>
          <w:color w:val="auto"/>
        </w:rPr>
      </w:pPr>
    </w:p>
    <w:p>
      <w:pPr>
        <w:ind w:left="660" w:right="640" w:hanging="328"/>
        <w:spacing w:after="0" w:line="28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6"/>
                <w:szCs w:val="16"/>
                <w:b w:val="1"/>
                <w:bCs w:val="1"/>
                <w:color w:val="auto"/>
              </w:rPr>
              <w:t>March 31, 2019</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20,732</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20,732</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4,489</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4,489</w:t>
            </w:r>
          </w:p>
        </w:tc>
      </w:tr>
      <w:tr>
        <w:trPr>
          <w:trHeight w:val="290"/>
        </w:trPr>
        <w:tc>
          <w:tcPr>
            <w:tcW w:w="516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20,732</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4,489</w:t>
            </w:r>
          </w:p>
        </w:tc>
        <w:tc>
          <w:tcPr>
            <w:tcW w:w="100" w:type="dxa"/>
            <w:vAlign w:val="bottom"/>
          </w:tcPr>
          <w:p>
            <w:pPr>
              <w:spacing w:after="0"/>
              <w:rPr>
                <w:sz w:val="24"/>
                <w:szCs w:val="24"/>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25,221</w:t>
            </w:r>
          </w:p>
        </w:tc>
      </w:tr>
      <w:tr>
        <w:trPr>
          <w:trHeight w:val="311"/>
        </w:trPr>
        <w:tc>
          <w:tcPr>
            <w:tcW w:w="516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66,166</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66,166</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12,678</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12,678</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and agency obligations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52,170</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52,170</w:t>
            </w:r>
          </w:p>
        </w:tc>
      </w:tr>
      <w:tr>
        <w:trPr>
          <w:trHeight w:val="250"/>
        </w:trPr>
        <w:tc>
          <w:tcPr>
            <w:tcW w:w="516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131,014</w:t>
            </w: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131,014</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6"/>
                <w:szCs w:val="16"/>
                <w:b w:val="1"/>
                <w:bCs w:val="1"/>
                <w:color w:val="auto"/>
              </w:rPr>
              <w:t>December 31, 2018</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38,022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38,022</w:t>
            </w:r>
          </w:p>
        </w:tc>
      </w:tr>
      <w:tr>
        <w:trPr>
          <w:trHeight w:val="250"/>
        </w:trPr>
        <w:tc>
          <w:tcPr>
            <w:tcW w:w="5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79,634</w:t>
            </w:r>
          </w:p>
        </w:tc>
        <w:tc>
          <w:tcPr>
            <w:tcW w:w="100" w:type="dxa"/>
            <w:vAlign w:val="bottom"/>
          </w:tcPr>
          <w:p>
            <w:pPr>
              <w:spacing w:after="0"/>
              <w:rPr>
                <w:sz w:val="22"/>
                <w:szCs w:val="22"/>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79,634</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16,119</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16,119</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Treasury and agency obligations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22,366</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22,366</w:t>
            </w:r>
          </w:p>
        </w:tc>
      </w:tr>
      <w:tr>
        <w:trPr>
          <w:trHeight w:val="250"/>
        </w:trPr>
        <w:tc>
          <w:tcPr>
            <w:tcW w:w="5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118,119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118,119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measured and recorded at fair value at March 31, 2019, and December 31,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3" w:name="page14"/>
    <w:bookmarkEnd w:id="1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ind w:left="8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March 31, 2019</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257"/>
        </w:trPr>
        <w:tc>
          <w:tcPr>
            <w:tcW w:w="82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Computer software and equipment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15,474</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13,038</w:t>
            </w:r>
          </w:p>
        </w:tc>
      </w:tr>
      <w:tr>
        <w:trPr>
          <w:trHeight w:val="263"/>
        </w:trPr>
        <w:tc>
          <w:tcPr>
            <w:tcW w:w="8240" w:type="dxa"/>
            <w:vAlign w:val="bottom"/>
          </w:tcPr>
          <w:p>
            <w:pPr>
              <w:ind w:left="8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22"/>
                <w:szCs w:val="22"/>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2,376</w:t>
            </w:r>
          </w:p>
        </w:tc>
      </w:tr>
      <w:tr>
        <w:trPr>
          <w:trHeight w:val="277"/>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7,646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7,266</w:t>
            </w:r>
          </w:p>
        </w:tc>
      </w:tr>
      <w:tr>
        <w:trPr>
          <w:trHeight w:val="264"/>
        </w:trPr>
        <w:tc>
          <w:tcPr>
            <w:tcW w:w="8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Right-of-use assets under finance leases</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1,854</w:t>
            </w:r>
          </w:p>
        </w:tc>
      </w:tr>
      <w:tr>
        <w:trPr>
          <w:trHeight w:val="257"/>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27,364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24,534</w:t>
            </w:r>
          </w:p>
        </w:tc>
      </w:tr>
      <w:tr>
        <w:trPr>
          <w:trHeight w:val="264"/>
        </w:trPr>
        <w:tc>
          <w:tcPr>
            <w:tcW w:w="8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(13,186)</w:t>
            </w:r>
          </w:p>
        </w:tc>
      </w:tr>
      <w:tr>
        <w:trPr>
          <w:trHeight w:val="257"/>
        </w:trPr>
        <w:tc>
          <w:tcPr>
            <w:tcW w:w="8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12,714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11,348</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Depreciation and amortization related to property and equipment was $1.5 million and $1.3 million in the three months ended March 31, 2019 and 2018,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47"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We have operating leases for office facilities and finance leases for computer and office equipment. Our leases have remaining terms of less than one year to 8.3 years, some of which include one or more options to renew, with renewal terms up to five years and some of which include options to terminate the leases within the next three to six years. The ROU assets and liabilities as of March 31, 2019 assume the option to early terminate one of our leases in 2021 and one of our leases in 2025.</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853</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8"/>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Amortization of ROU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152</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on lease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finance lease cost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short-term leases in the three months ended March 31, 2019 and 2018 was not material.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19"/>
                <w:szCs w:val="19"/>
                <w:color w:val="auto"/>
              </w:rPr>
            </w:pPr>
          </w:p>
        </w:tc>
        <w:tc>
          <w:tcPr>
            <w:tcW w:w="1320" w:type="dxa"/>
            <w:vAlign w:val="bottom"/>
          </w:tcPr>
          <w:p>
            <w:pPr>
              <w:ind w:left="400"/>
              <w:spacing w:after="0"/>
              <w:rPr>
                <w:sz w:val="20"/>
                <w:szCs w:val="20"/>
                <w:color w:val="auto"/>
              </w:rPr>
            </w:pPr>
            <w:r>
              <w:rPr>
                <w:rFonts w:ascii="Arial" w:cs="Arial" w:eastAsia="Arial" w:hAnsi="Arial"/>
                <w:sz w:val="16"/>
                <w:szCs w:val="16"/>
                <w:b w:val="1"/>
                <w:bCs w:val="1"/>
                <w:color w:val="auto"/>
              </w:rPr>
              <w:t>2018</w:t>
            </w:r>
          </w:p>
        </w:tc>
      </w:tr>
      <w:tr>
        <w:trPr>
          <w:trHeight w:val="27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Weighted average remaining lease term</w:t>
            </w:r>
          </w:p>
        </w:tc>
        <w:tc>
          <w:tcPr>
            <w:tcW w:w="140" w:type="dxa"/>
            <w:vAlign w:val="bottom"/>
          </w:tcPr>
          <w:p>
            <w:pPr>
              <w:spacing w:after="0"/>
              <w:rPr>
                <w:sz w:val="22"/>
                <w:szCs w:val="22"/>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3.5 years</w:t>
            </w:r>
          </w:p>
        </w:tc>
        <w:tc>
          <w:tcPr>
            <w:tcW w:w="160" w:type="dxa"/>
            <w:vAlign w:val="bottom"/>
          </w:tcPr>
          <w:p>
            <w:pPr>
              <w:spacing w:after="0"/>
              <w:rPr>
                <w:sz w:val="22"/>
                <w:szCs w:val="22"/>
                <w:color w:val="auto"/>
              </w:rPr>
            </w:pPr>
          </w:p>
        </w:tc>
        <w:tc>
          <w:tcPr>
            <w:tcW w:w="1320" w:type="dxa"/>
            <w:vAlign w:val="bottom"/>
          </w:tcPr>
          <w:p>
            <w:pPr>
              <w:jc w:val="right"/>
              <w:ind w:right="254"/>
              <w:spacing w:after="0"/>
              <w:rPr>
                <w:sz w:val="20"/>
                <w:szCs w:val="20"/>
                <w:color w:val="auto"/>
              </w:rPr>
            </w:pPr>
            <w:r>
              <w:rPr>
                <w:rFonts w:ascii="Arial" w:cs="Arial" w:eastAsia="Arial" w:hAnsi="Arial"/>
                <w:sz w:val="18"/>
                <w:szCs w:val="18"/>
                <w:color w:val="auto"/>
              </w:rPr>
              <w:t>3.1 years</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discount rate</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7.1%</w:t>
            </w:r>
          </w:p>
        </w:tc>
      </w:tr>
      <w:tr>
        <w:trPr>
          <w:trHeight w:val="507"/>
        </w:trPr>
        <w:tc>
          <w:tcPr>
            <w:tcW w:w="8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2018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40" w:right="239" w:bottom="1440" w:gutter="0" w:footer="0" w:header="0"/>
          <w:type w:val="continuous"/>
        </w:sectPr>
      </w:pPr>
    </w:p>
    <w:bookmarkStart w:id="14" w:name="page15"/>
    <w:bookmarkEnd w:id="1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operating lease liabilities at March 31, 2019 were as follows: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940" w:type="dxa"/>
            <w:vAlign w:val="bottom"/>
          </w:tcPr>
          <w:p>
            <w:pPr>
              <w:ind w:left="40"/>
              <w:spacing w:after="0"/>
              <w:rPr>
                <w:sz w:val="20"/>
                <w:szCs w:val="20"/>
                <w:color w:val="auto"/>
              </w:rPr>
            </w:pPr>
            <w:r>
              <w:rPr>
                <w:rFonts w:ascii="Arial" w:cs="Arial" w:eastAsia="Arial" w:hAnsi="Arial"/>
                <w:sz w:val="18"/>
                <w:szCs w:val="18"/>
                <w:color w:val="auto"/>
              </w:rPr>
              <w:t>2019</w:t>
            </w:r>
            <w:r>
              <w:rPr>
                <w:rFonts w:ascii="Arial" w:cs="Arial" w:eastAsia="Arial" w:hAnsi="Arial"/>
                <w:sz w:val="21"/>
                <w:szCs w:val="21"/>
                <w:color w:val="auto"/>
                <w:vertAlign w:val="superscript"/>
              </w:rPr>
              <w:t>(1)</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jc w:val="center"/>
              <w:ind w:right="8954"/>
              <w:spacing w:after="0"/>
              <w:rPr>
                <w:sz w:val="20"/>
                <w:szCs w:val="20"/>
                <w:color w:val="auto"/>
              </w:rPr>
            </w:pPr>
            <w:r>
              <w:rPr>
                <w:rFonts w:ascii="Arial" w:cs="Arial" w:eastAsia="Arial" w:hAnsi="Arial"/>
                <w:sz w:val="18"/>
                <w:szCs w:val="18"/>
                <w:color w:val="auto"/>
                <w:w w:val="98"/>
              </w:rPr>
              <w:t>Thereafter</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50"/>
        </w:trPr>
        <w:tc>
          <w:tcPr>
            <w:tcW w:w="9940" w:type="dxa"/>
            <w:vAlign w:val="bottom"/>
          </w:tcPr>
          <w:p>
            <w:pPr>
              <w:ind w:left="280"/>
              <w:spacing w:after="0"/>
              <w:rPr>
                <w:sz w:val="20"/>
                <w:szCs w:val="20"/>
                <w:color w:val="auto"/>
              </w:rPr>
            </w:pPr>
            <w:r>
              <w:rPr>
                <w:rFonts w:ascii="Arial" w:cs="Arial" w:eastAsia="Arial" w:hAnsi="Arial"/>
                <w:sz w:val="18"/>
                <w:szCs w:val="18"/>
                <w:color w:val="auto"/>
              </w:rPr>
              <w:t>Total lease payments</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13,137</w:t>
            </w:r>
          </w:p>
        </w:tc>
        <w:tc>
          <w:tcPr>
            <w:tcW w:w="0" w:type="dxa"/>
            <w:vAlign w:val="bottom"/>
          </w:tcPr>
          <w:p>
            <w:pPr>
              <w:spacing w:after="0"/>
              <w:rPr>
                <w:sz w:val="1"/>
                <w:szCs w:val="1"/>
                <w:color w:val="auto"/>
              </w:rPr>
            </w:pP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57"/>
        </w:trPr>
        <w:tc>
          <w:tcPr>
            <w:tcW w:w="9940" w:type="dxa"/>
            <w:vAlign w:val="bottom"/>
          </w:tcPr>
          <w:p>
            <w:pPr>
              <w:jc w:val="center"/>
              <w:ind w:right="8914"/>
              <w:spacing w:after="0"/>
              <w:rPr>
                <w:sz w:val="20"/>
                <w:szCs w:val="20"/>
                <w:color w:val="auto"/>
              </w:rPr>
            </w:pPr>
            <w:r>
              <w:rPr>
                <w:rFonts w:ascii="Arial" w:cs="Arial" w:eastAsia="Arial" w:hAnsi="Arial"/>
                <w:sz w:val="18"/>
                <w:szCs w:val="18"/>
                <w:color w:val="auto"/>
                <w:w w:val="94"/>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11,447</w:t>
            </w:r>
          </w:p>
        </w:tc>
        <w:tc>
          <w:tcPr>
            <w:tcW w:w="0" w:type="dxa"/>
            <w:vAlign w:val="bottom"/>
          </w:tcPr>
          <w:p>
            <w:pPr>
              <w:spacing w:after="0"/>
              <w:rPr>
                <w:sz w:val="1"/>
                <w:szCs w:val="1"/>
                <w:color w:val="auto"/>
              </w:rPr>
            </w:pPr>
          </w:p>
        </w:tc>
      </w:tr>
      <w:tr>
        <w:trPr>
          <w:trHeight w:val="20"/>
        </w:trPr>
        <w:tc>
          <w:tcPr>
            <w:tcW w:w="9940" w:type="dxa"/>
            <w:vAlign w:val="bottom"/>
            <w:vMerge w:val="restart"/>
          </w:tcPr>
          <w:p>
            <w:pPr>
              <w:jc w:val="center"/>
              <w:ind w:right="8954"/>
              <w:spacing w:after="0"/>
              <w:rPr>
                <w:sz w:val="20"/>
                <w:szCs w:val="20"/>
                <w:color w:val="auto"/>
              </w:rPr>
            </w:pPr>
            <w:r>
              <w:rPr>
                <w:rFonts w:ascii="Arial" w:cs="Arial" w:eastAsia="Arial" w:hAnsi="Arial"/>
                <w:sz w:val="11"/>
                <w:szCs w:val="11"/>
                <w:color w:val="auto"/>
                <w:w w:val="98"/>
              </w:rPr>
              <w:t>_______________</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99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the nine months ending December 31, 2019.</w:t>
      </w:r>
    </w:p>
    <w:p>
      <w:pPr>
        <w:spacing w:after="0" w:line="21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of March 31, 2019, the operating lease for our future headquarters had not commenced and we did not have control of the space to be leased. We plan to take possession of the leased office space in mid-2019, at which time we will record a right-of-use asset and corresponding lease liability, and begin to record rent expense. Future lease payments related to this lease are $68.2 million and the lease payments are expected to commence in the first quarter of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May 4, 2017, we entered into a $25.0 million revolving credit facility (“Credit Facility”) with Silicon Valley Bank, which is available for use until May 4, 2020. The Credit Facility is intended to be used to fund working capital and to provide increased liquidity and financial flexibility and bears interest at either LIBOR plus 2%, or the lender's prime rate plus 1%. In addition, we pay quarterly in arrears 0.25% of the average unused portion. The Credit Facility is secured by a first priority security interest in all of our assets, with a negative pledge on our Intellectual Property, as defined in the credit agreement.</w:t>
      </w:r>
    </w:p>
    <w:p>
      <w:pPr>
        <w:spacing w:after="0" w:line="206"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Credit Facility contains certain restrictive covenants customary for facilities of this type including restrictions on indebtedness, liens, acquisitions and investments, restricted payments and dispositions. If, as of the last day of any quarter, the outstanding balance of the Credit Facility exceeds $5.0 million, there are financial covenants that require us to maintain a minimum level of earnings before income taxes, interest, depreciation and amortization (“EBITDA”) adjusted to add changes in deferred revenue in the period, and a minimum current ratio level. There were no borrowings under the Credit Facility during the three months ended March 31, 2019 or in 2018.</w:t>
      </w:r>
    </w:p>
    <w:p>
      <w:pPr>
        <w:spacing w:after="0" w:line="184" w:lineRule="exact"/>
        <w:rPr>
          <w:sz w:val="20"/>
          <w:szCs w:val="20"/>
          <w:color w:val="auto"/>
        </w:rPr>
      </w:pPr>
    </w:p>
    <w:p>
      <w:pPr>
        <w:ind w:left="340" w:right="5980" w:hanging="332"/>
        <w:spacing w:after="0" w:line="513" w:lineRule="auto"/>
        <w:tabs>
          <w:tab w:leader="none" w:pos="21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Common Stock </w:t>
      </w:r>
      <w:r>
        <w:rPr>
          <w:rFonts w:ascii="Arial" w:cs="Arial" w:eastAsia="Arial" w:hAnsi="Arial"/>
          <w:sz w:val="18"/>
          <w:szCs w:val="18"/>
          <w:b w:val="1"/>
          <w:bCs w:val="1"/>
          <w:i w:val="1"/>
          <w:iCs w:val="1"/>
          <w:color w:val="auto"/>
        </w:rPr>
        <w:t>Redeemable Convertible Preferred Stock</w:t>
      </w:r>
    </w:p>
    <w:p>
      <w:pPr>
        <w:spacing w:after="0" w:line="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October 2012, Tenable, Inc. (now a wholly owned subsidiary of Tenable Holdings, Inc.) issued 15,847,500 shares of Series A redeemable convertible preferred stock. In December 2015, we issued 15,847,500 shares, par value of $0.01, of Series A redeemable convertible preferred stock ("Series A") in exchange for Series A redeemable convertible preferred stock of Tenable, Inc. in connection with a recapitalization. This exchange was made on a one for one basis. In addition, we authorized 42,000,000 shares and issued 39,538,354 shares, par value of $ 0.01, of Series B redeemable convertible preferred stock ("Series B"). Upon completion of our IPO, Series A and Series B (together, the “Redeemable Convertible Preferred Stock”) automatically converted into an aggregate of 55,385,854 shares of our common stock.</w:t>
      </w:r>
    </w:p>
    <w:p>
      <w:pPr>
        <w:spacing w:after="0" w:line="207"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We accreted the Redeemable Convertible Preferred Stock to the redemption price at the redemption date using the effective interest method. Upon completion of our IPO, the accretion rights of the Redeemable Convertible Preferred Stock were terminated.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5" w:name="page16"/>
    <w:bookmarkEnd w:id="1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completion of our IPO, we filed an Amended and Restated Certificate of Incorporation, authorizing a total of 500,000,000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and 10,000,000 shares of preferred stock. There were no shares of preferred stock issued or outstanding at March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 or December 31, 2018.</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any preferential rights of preferred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2018, our board of directors adopted, and our stockholders approved, our 2018 Equity Incentive Plan ("2018 Plan"), which became effective upon the execution of the underwriting agreement related to our IPO, and no further grants were made under our 2016 Stock Incentive Plan ("2016 Plan"). Any shares subject to stock options or other stock awards granted under our 2016 Plan, 2012 Stock Incentive Plan or 2002 Stock Incentive Plan that would have otherwise returned to such plan (such as upon the expiration or termination of a stock award prior to vesting) were added to, and are available for issuance under, our 2018 Plan. In addition, the number of shares of our common stock reserved for issuance under our 2018 Plan automatically increase on January 1 of each year, beginning on January 1, 2019 and continuing through and including January 1, 2028, by 5% of the total number of shares of our capital stock outstanding on December 31 of the preceding calendar year, or a lesser number of shares determined by our board of directors. There were 14,708,178 shares available for grant under the 2018 Plan at March 31, 2019.</w:t>
      </w:r>
    </w:p>
    <w:p>
      <w:pPr>
        <w:spacing w:after="0" w:line="21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Stock options granted under our stock incentive plans have a maximum term of ten years, generally vest over a period of three to four years, and the exercise price cannot be less than the fair market value on the date of grant. Restricted stock units ("RSUs") granted under our stock incentive plans generally vest over a period of two to four years.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63"/>
        </w:trPr>
        <w:tc>
          <w:tcPr>
            <w:tcW w:w="82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602</w:t>
            </w:r>
          </w:p>
        </w:tc>
      </w:tr>
      <w:tr>
        <w:trPr>
          <w:trHeight w:val="277"/>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3,271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1,193</w:t>
            </w:r>
          </w:p>
        </w:tc>
      </w:tr>
      <w:tr>
        <w:trPr>
          <w:trHeight w:val="257"/>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2,399</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At March 31, 2019, the total unrecognized stock-based compensation expense related to outstanding stock options was $40.1 million, which is expected to be recognized over an estimated remaining weighted average period of 2.8 years.</w:t>
      </w:r>
    </w:p>
    <w:p>
      <w:pPr>
        <w:spacing w:after="0" w:line="196"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At March 31, 2019, the unrecognized stock-based compensation expense related to unvested awards of restricted stock was $2.9 million, which is expected to be recognized over an estimated remaining period of 1.8 years.</w:t>
      </w:r>
    </w:p>
    <w:p>
      <w:pPr>
        <w:spacing w:after="0" w:line="196"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At March 31, 2019, the unrecognized stock-based compensation expense related to unvested restricted stock units was $64.6 million, which is expected to be recognized over an estimated remaining period of 3.6 years.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6" w:name="page17"/>
    <w:bookmarkEnd w:id="1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Weighted-Average</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80" w:type="dxa"/>
            <w:vAlign w:val="bottom"/>
          </w:tcPr>
          <w:p>
            <w:pPr>
              <w:jc w:val="right"/>
              <w:ind w:right="352"/>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Contractual Term</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 and years)</w:t>
            </w: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277,114</w:t>
            </w:r>
          </w:p>
        </w:tc>
        <w:tc>
          <w:tcPr>
            <w:tcW w:w="0" w:type="dxa"/>
            <w:vAlign w:val="bottom"/>
          </w:tcPr>
          <w:p>
            <w:pPr>
              <w:spacing w:after="0"/>
              <w:rPr>
                <w:sz w:val="1"/>
                <w:szCs w:val="1"/>
                <w:color w:val="auto"/>
              </w:rPr>
            </w:pPr>
          </w:p>
        </w:tc>
      </w:tr>
      <w:tr>
        <w:trPr>
          <w:trHeight w:val="290"/>
        </w:trPr>
        <w:tc>
          <w:tcPr>
            <w:tcW w:w="51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2019</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364,919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148,143</w:t>
            </w:r>
          </w:p>
        </w:tc>
        <w:tc>
          <w:tcPr>
            <w:tcW w:w="0" w:type="dxa"/>
            <w:vAlign w:val="bottom"/>
          </w:tcPr>
          <w:p>
            <w:pPr>
              <w:spacing w:after="0" w:line="20" w:lineRule="exact"/>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Exercisable at March 31, 2019</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1480" w:type="dxa"/>
            <w:vAlign w:val="bottom"/>
          </w:tcPr>
          <w:p>
            <w:pPr>
              <w:jc w:val="right"/>
              <w:ind w:right="515"/>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2019, there were 15.6 million stock options that were vested and expected to vest.</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and restricted stock units activity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08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Pr>
          <w:p>
            <w:pPr>
              <w:spacing w:after="0"/>
              <w:rPr>
                <w:sz w:val="19"/>
                <w:szCs w:val="19"/>
                <w:color w:val="auto"/>
              </w:rPr>
            </w:pPr>
          </w:p>
        </w:tc>
        <w:tc>
          <w:tcPr>
            <w:tcW w:w="30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Average</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rPr>
              <w:t>Average</w:t>
            </w:r>
          </w:p>
        </w:tc>
      </w:tr>
      <w:tr>
        <w:trPr>
          <w:trHeight w:val="189"/>
        </w:trPr>
        <w:tc>
          <w:tcPr>
            <w:tcW w:w="5160" w:type="dxa"/>
            <w:vAlign w:val="bottom"/>
          </w:tcPr>
          <w:p>
            <w:pPr>
              <w:spacing w:after="0"/>
              <w:rPr>
                <w:sz w:val="16"/>
                <w:szCs w:val="16"/>
                <w:color w:val="auto"/>
              </w:rPr>
            </w:pPr>
          </w:p>
        </w:tc>
        <w:tc>
          <w:tcPr>
            <w:tcW w:w="1500" w:type="dxa"/>
            <w:vAlign w:val="bottom"/>
          </w:tcPr>
          <w:p>
            <w:pPr>
              <w:jc w:val="right"/>
              <w:ind w:right="373"/>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Grant Date Fair</w:t>
            </w:r>
          </w:p>
        </w:tc>
        <w:tc>
          <w:tcPr>
            <w:tcW w:w="146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w:t>
            </w:r>
          </w:p>
        </w:tc>
        <w:tc>
          <w:tcPr>
            <w:tcW w:w="15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8"/>
              </w:rPr>
              <w:t>Value</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2018</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18.90</w:t>
            </w:r>
          </w:p>
        </w:tc>
      </w:tr>
      <w:tr>
        <w:trPr>
          <w:trHeight w:val="263"/>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29.05</w:t>
            </w:r>
          </w:p>
        </w:tc>
      </w:tr>
      <w:tr>
        <w:trPr>
          <w:trHeight w:val="277"/>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20.80</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March 31, 2019</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25.33</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80" w:firstLine="324"/>
        <w:spacing w:after="0" w:line="278" w:lineRule="auto"/>
        <w:rPr>
          <w:sz w:val="20"/>
          <w:szCs w:val="20"/>
          <w:color w:val="auto"/>
        </w:rPr>
      </w:pPr>
      <w:r>
        <w:rPr>
          <w:rFonts w:ascii="Arial" w:cs="Arial" w:eastAsia="Arial" w:hAnsi="Arial"/>
          <w:sz w:val="17"/>
          <w:szCs w:val="17"/>
          <w:color w:val="auto"/>
        </w:rPr>
        <w:t>The grant date fair value was based on the estimated fair value of our common stock on the date of grant. RSUs granted before July 30, 2018 vest upon the satisfaction of both service-based and performance-based vesting conditions. The performance-based condition was satisfied upon the completion of our IPO. RSUs granted after July 30, 2018 vest upon the satisfaction of a service-based vesting condition.</w:t>
      </w:r>
    </w:p>
    <w:p>
      <w:pPr>
        <w:spacing w:after="0" w:line="185"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Compensation expense for restricted stock and RSUs is recognized on a straight-line basis over the requisite service period, with the exception of RSUs that include performance-based vesting conditions, which are expensed using the accelerated attribution method.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our board of directors adopted, and our stockholders approved, our 2018 Employee Stock Purchase Plan ("2018 ESPP").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ESPP became effective upon the execution of the underwriting agreement related to our IPO. The number of shares of our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reserved for issuance under our 2018 ESPP automatically increases on January 1 of each year, beginning on January 1, 2019 and continuing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through and including January 1, 2028, by the lesser of (1) 1.5% of the total number of shares of our common stock outstanding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of the preceding calendar year, (2) 8,000,000 shares of our common stock or (3) such lesser number of shares of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determined by our board of directors. There were 4,958,092 shares reserved for issuance under the 2018 ESPP at March 31,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7" w:name="page18"/>
    <w:bookmarkEnd w:id="1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Under our 2018 ESPP, employees may set aside up to 15% of their gross earnings, on an after-tax basis, to purchase our common stock at a discounted price, which is calculated at 85% of the lower of the fair market value of our common stock on the first day of an offering or on the date of purchase. The 2018 ESPP permits offerings up to 27 months in duration, with one or more purchase periods in each offering. The initial offering period began on July 25, 2018 and is scheduled to end on September 1, 2020, with purchase periods ending on March 1, 2019, September 1, 2019, March 1, 2020 and September 1, 2020. A second offering period began on March 1, 2019 and is scheduled to end on March 1, 2021, with four six-month purchase periods.</w:t>
      </w:r>
    </w:p>
    <w:p>
      <w:pPr>
        <w:spacing w:after="0" w:line="209"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In the three months ended March 31, 2019, employees purchased 438,804 shares of our common stock at a price of $19.55 per share, resulting in cash proceeds of $8.6 million.</w:t>
      </w:r>
    </w:p>
    <w:p>
      <w:pPr>
        <w:spacing w:after="0" w:line="196"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At March 31, 2019, there was $1.3 million of employee contributions to the 2018 ESPP included in accrued compensation. The unrecognized stock-based compensation expense related to our 2018 ESPP was $8.7 million, which is expected to be recognized over the remaining weighted average period of 1.5 years.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2018 ESPP purchase rights for the initial and second offering periods was estimated on the grant date using a Black-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and the following assumptions: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2.1</w:t>
            </w:r>
          </w:p>
        </w:tc>
      </w:tr>
      <w:tr>
        <w:trPr>
          <w:trHeight w:val="250"/>
        </w:trPr>
        <w:tc>
          <w:tcPr>
            <w:tcW w:w="55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040" w:type="dxa"/>
            <w:vAlign w:val="bottom"/>
          </w:tcPr>
          <w:p>
            <w:pPr>
              <w:jc w:val="right"/>
              <w:spacing w:after="0"/>
              <w:rPr>
                <w:sz w:val="20"/>
                <w:szCs w:val="20"/>
                <w:color w:val="auto"/>
              </w:rPr>
            </w:pPr>
            <w:r>
              <w:rPr>
                <w:rFonts w:ascii="Arial" w:cs="Arial" w:eastAsia="Arial" w:hAnsi="Arial"/>
                <w:sz w:val="18"/>
                <w:szCs w:val="18"/>
                <w:color w:val="auto"/>
              </w:rPr>
              <w:t>31.9%</w:t>
            </w:r>
          </w:p>
        </w:tc>
        <w:tc>
          <w:tcPr>
            <w:tcW w:w="1880" w:type="dxa"/>
            <w:vAlign w:val="bottom"/>
          </w:tcPr>
          <w:p>
            <w:pPr>
              <w:ind w:left="20"/>
              <w:spacing w:after="0"/>
              <w:rPr>
                <w:sz w:val="20"/>
                <w:szCs w:val="20"/>
                <w:color w:val="auto"/>
              </w:rPr>
            </w:pPr>
            <w:r>
              <w:rPr>
                <w:rFonts w:ascii="Arial" w:cs="Arial" w:eastAsia="Arial" w:hAnsi="Arial"/>
                <w:sz w:val="18"/>
                <w:szCs w:val="18"/>
                <w:color w:val="auto"/>
              </w:rPr>
              <w:t>— 44.6%</w:t>
            </w:r>
          </w:p>
        </w:tc>
      </w:tr>
      <w:tr>
        <w:trPr>
          <w:trHeight w:val="26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4040" w:type="dxa"/>
            <w:vAlign w:val="bottom"/>
          </w:tcPr>
          <w:p>
            <w:pPr>
              <w:spacing w:after="0"/>
              <w:rPr>
                <w:sz w:val="21"/>
                <w:szCs w:val="21"/>
                <w:color w:val="auto"/>
              </w:rPr>
            </w:pPr>
          </w:p>
        </w:tc>
        <w:tc>
          <w:tcPr>
            <w:tcW w:w="188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Attributable to Common Stockholders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 attributable to common stockholders,</w:t>
            </w:r>
          </w:p>
        </w:tc>
        <w:tc>
          <w:tcPr>
            <w:tcW w:w="24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93,738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23,495</w:t>
            </w: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08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9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54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15,632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15,217</w:t>
            </w:r>
          </w:p>
        </w:tc>
        <w:tc>
          <w:tcPr>
            <w:tcW w:w="0" w:type="dxa"/>
            <w:vAlign w:val="bottom"/>
          </w:tcPr>
          <w:p>
            <w:pPr>
              <w:spacing w:after="0"/>
              <w:rPr>
                <w:sz w:val="1"/>
                <w:szCs w:val="1"/>
                <w:color w:val="auto"/>
              </w:rPr>
            </w:pPr>
          </w:p>
        </w:tc>
      </w:tr>
      <w:tr>
        <w:trPr>
          <w:trHeight w:val="263"/>
        </w:trPr>
        <w:tc>
          <w:tcPr>
            <w:tcW w:w="442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5420" w:type="dxa"/>
            <w:vAlign w:val="bottom"/>
            <w:gridSpan w:val="2"/>
          </w:tcPr>
          <w:p>
            <w:pPr>
              <w:jc w:val="right"/>
              <w:ind w:right="36"/>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54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63"/>
        </w:trPr>
        <w:tc>
          <w:tcPr>
            <w:tcW w:w="4420" w:type="dxa"/>
            <w:vAlign w:val="bottom"/>
          </w:tcPr>
          <w:p>
            <w:pPr>
              <w:ind w:left="40"/>
              <w:spacing w:after="0"/>
              <w:rPr>
                <w:sz w:val="20"/>
                <w:szCs w:val="20"/>
                <w:color w:val="auto"/>
              </w:rPr>
            </w:pPr>
            <w:r>
              <w:rPr>
                <w:rFonts w:ascii="Arial" w:cs="Arial" w:eastAsia="Arial" w:hAnsi="Arial"/>
                <w:sz w:val="18"/>
                <w:szCs w:val="18"/>
                <w:color w:val="auto"/>
              </w:rPr>
              <w:t>Shares to be issued under ESPP</w:t>
            </w:r>
          </w:p>
        </w:tc>
        <w:tc>
          <w:tcPr>
            <w:tcW w:w="5420" w:type="dxa"/>
            <w:vAlign w:val="bottom"/>
            <w:gridSpan w:val="2"/>
          </w:tcPr>
          <w:p>
            <w:pPr>
              <w:jc w:val="right"/>
              <w:ind w:right="36"/>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39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55,386</w:t>
            </w:r>
          </w:p>
        </w:tc>
        <w:tc>
          <w:tcPr>
            <w:tcW w:w="0" w:type="dxa"/>
            <w:vAlign w:val="bottom"/>
          </w:tcPr>
          <w:p>
            <w:pPr>
              <w:spacing w:after="0"/>
              <w:rPr>
                <w:sz w:val="1"/>
                <w:szCs w:val="1"/>
                <w:color w:val="auto"/>
              </w:rPr>
            </w:pPr>
          </w:p>
        </w:tc>
      </w:tr>
      <w:tr>
        <w:trPr>
          <w:trHeight w:val="257"/>
        </w:trPr>
        <w:tc>
          <w:tcPr>
            <w:tcW w:w="4420" w:type="dxa"/>
            <w:vAlign w:val="bottom"/>
          </w:tcPr>
          <w:p>
            <w:pPr>
              <w:ind w:left="280"/>
              <w:spacing w:after="0"/>
              <w:rPr>
                <w:sz w:val="20"/>
                <w:szCs w:val="20"/>
                <w:color w:val="auto"/>
              </w:rPr>
            </w:pPr>
            <w:r>
              <w:rPr>
                <w:rFonts w:ascii="Arial" w:cs="Arial" w:eastAsia="Arial" w:hAnsi="Arial"/>
                <w:sz w:val="18"/>
                <w:szCs w:val="18"/>
                <w:color w:val="auto"/>
              </w:rPr>
              <w:t>Total</w:t>
            </w:r>
          </w:p>
        </w:tc>
        <w:tc>
          <w:tcPr>
            <w:tcW w:w="5420" w:type="dxa"/>
            <w:vAlign w:val="bottom"/>
            <w:gridSpan w:val="2"/>
          </w:tcPr>
          <w:p>
            <w:pPr>
              <w:jc w:val="right"/>
              <w:ind w:right="36"/>
              <w:spacing w:after="0"/>
              <w:rPr>
                <w:sz w:val="20"/>
                <w:szCs w:val="20"/>
                <w:color w:val="auto"/>
              </w:rPr>
            </w:pPr>
            <w:r>
              <w:rPr>
                <w:rFonts w:ascii="Arial" w:cs="Arial" w:eastAsia="Arial" w:hAnsi="Arial"/>
                <w:sz w:val="18"/>
                <w:szCs w:val="18"/>
                <w:color w:val="auto"/>
              </w:rPr>
              <w:t>19,422</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71,790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920" w:type="dxa"/>
            <w:vAlign w:val="bottom"/>
            <w:vMerge w:val="restart"/>
          </w:tcPr>
          <w:p>
            <w:pPr>
              <w:jc w:val="right"/>
              <w:ind w:right="2430"/>
              <w:spacing w:after="0"/>
              <w:rPr>
                <w:sz w:val="20"/>
                <w:szCs w:val="20"/>
                <w:color w:val="auto"/>
              </w:rPr>
            </w:pPr>
            <w:r>
              <w:rPr>
                <w:rFonts w:ascii="Arial" w:cs="Arial" w:eastAsia="Arial" w:hAnsi="Arial"/>
                <w:sz w:val="18"/>
                <w:szCs w:val="18"/>
                <w:color w:val="auto"/>
              </w:rPr>
              <w:t>18</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4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8" w:name="page19"/>
    <w:bookmarkEnd w:id="1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Geographic Information</w:t>
      </w:r>
    </w:p>
    <w:p>
      <w:pPr>
        <w:spacing w:after="0" w:line="24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region, based on the address of the end user as specified in our subscription, license or service agreements,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56,091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42,762</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17,307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11,666</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6,903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4,679</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80,301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59,107</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Customers located in the United States accounted for 65% and 67% of revenue in the three months ended March 31, 2019 and 2018, respectively. No other country accounted for 10% or more of revenue in the periods presented.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42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9" w:name="page20"/>
    <w:bookmarkEnd w:id="1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2018, or the 10-K, filed with the Securities and Exchange Commission on March 1, 2019. This Form 10-Q contains forward-looking statements within the meaning of Section 27A of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Form 10-Q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the first and only provider of solutions for a new category of cybersecurity that we call Cyber Exposure. Cyber Exposure is a discipline for managing and measuring cybersecurity risk in the digital era. Our enterprise platform enables broad visibility into an organization’s cyber exposure across the modern attack surface and deep insights that help organizations translate vulnerability data into business insights to understand and reduce their cybersecurity risk.</w:t>
      </w:r>
    </w:p>
    <w:p>
      <w:pPr>
        <w:spacing w:after="0" w:line="31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enterprise platform offerings, including Tenable.io, Tenable.sc and Industrial Security, are built to provide organizations with the breadth of visibility to accurately understand both traditional and modern attack surfaces and the depth of insight that stems from risk-based analytics, prioritization and benchmarking. Our Cyber Exposure platform automatically discovers assets, including those in cloud environments, and assesses these assets for the presence of vulnerabilities, internal and regulatory compliance violations, misconfigurations and other cybersecurity issues, analyzes and prioritizes cybersecurity risks based on the likelihood of a vulnerability being exploited and the business criticality of the asset, and provides an objective way to measure an organization’s cyber exposure.</w:t>
      </w:r>
    </w:p>
    <w:p>
      <w:pPr>
        <w:spacing w:after="0" w:line="31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Our enterprise platform offerings are primarily sold on a subscription basis with terms ranging from one to three years, primarily one year. These offerings are typically prepaid in advance. To a lesser extent, we generate ratably recognizable revenue from perpetual licenses and from the related ongoing maintenance.</w:t>
      </w:r>
    </w:p>
    <w:p>
      <w:pPr>
        <w:spacing w:after="0" w:line="31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industry’s most widely deployed vulnerability assessment solutions. Nessus, which is the technology that underpins our enterprise platform offerings, is designed to quickly and accurately identify vulnerabilities, configuration and compliance issues and malware. Our free version of Nessus, Nessus Home, allows for vulnerability assessment over a limited number of IP addresses. We believe many of our Nessus customers begin with Nessus Home and subsequently upgrade to Nessus Professional, the paid version of Nessus; however, we expect many users to continue to use Nessus Home.</w:t>
      </w:r>
    </w:p>
    <w:p>
      <w:pPr>
        <w:spacing w:after="0" w:line="314"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We have experienced rapid growth in recent years. Revenue in the three months ended March 31, 2019 and 2018 was $80.3 million and $59.1 million, respectively, representing year-over-year growth of 36%. Our net loss in the three months ended March 31, 2019 and 2018 was $21.4 million and $15.9 million, respectively, as we continue to invest in our business and market opportunity.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0" w:name="page21"/>
    <w:bookmarkEnd w:id="2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80,301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59,107</w:t>
            </w:r>
          </w:p>
        </w:tc>
      </w:tr>
      <w:tr>
        <w:trPr>
          <w:trHeight w:val="263"/>
        </w:trPr>
        <w:tc>
          <w:tcPr>
            <w:tcW w:w="82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(22,685)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(15,449)</w:t>
            </w:r>
          </w:p>
        </w:tc>
      </w:tr>
      <w:tr>
        <w:trPr>
          <w:trHeight w:val="277"/>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r>
      <w:tr>
        <w:trPr>
          <w:trHeight w:val="263"/>
        </w:trPr>
        <w:tc>
          <w:tcPr>
            <w:tcW w:w="824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77"/>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504</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47"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We offer the first and only Cyber Exposure platform to provide visibility into the broadest range of traditional and modern IT assets across cloud and on-premises environments. We are intensely focused on continued innovation that empowers organizations to understand and reduce their cyber exposure. This includes ongoing development of our enterprise platform offerings. In February 2017, we released Tenable.io, our SaaS offering that is designed to provide broad visibility and insights across a broad range of traditional and modern IT assets and cloud environments.</w:t>
      </w:r>
    </w:p>
    <w:p>
      <w:pPr>
        <w:spacing w:after="0" w:line="206"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continue to expand the capabilities of our enterprise platform offerings, as well as our Nessus products, specifically as it relates to the ability to scan for and detect the rapidly expanding volume of vulnerabilities.</w:t>
      </w:r>
    </w:p>
    <w:p>
      <w:pPr>
        <w:spacing w:after="0" w:line="19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our enterprise platform customers will increase future opportunities for renewals and follow-on sales. We believe that we have significant room to capture additional market share.</w:t>
      </w:r>
    </w:p>
    <w:p>
      <w:pPr>
        <w:spacing w:after="0" w:line="20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2"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have increased our sales and marketing headcount in recent years and we will continue to invest significantly in our partner network and sales and marketing capability in order to grow domestically and internationally.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internet of things, or IoT, and operational technology, or OT, they often increase the scope of their subscriptions and/or add additional perpetual licenses to our enterprise platforms.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1" w:name="page22"/>
    <w:bookmarkEnd w:id="2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customers are typically organizations or independent security consultants that use Nessus for a single vulnerability assessment at a point in time. We seek to convert our Nessus Professional users to customers of our enterprise platform offerings, which provide continuous visibility and insights into their attack surface.</w:t>
      </w:r>
    </w:p>
    <w:p>
      <w:pPr>
        <w:spacing w:after="0" w:line="204" w:lineRule="exact"/>
        <w:rPr>
          <w:sz w:val="20"/>
          <w:szCs w:val="20"/>
          <w:color w:val="auto"/>
        </w:rPr>
      </w:pPr>
    </w:p>
    <w:p>
      <w:pPr>
        <w:jc w:val="both"/>
        <w:ind w:right="260" w:firstLine="324"/>
        <w:spacing w:after="0" w:line="254" w:lineRule="auto"/>
        <w:rPr>
          <w:sz w:val="20"/>
          <w:szCs w:val="20"/>
          <w:color w:val="auto"/>
        </w:rPr>
      </w:pPr>
      <w:r>
        <w:rPr>
          <w:rFonts w:ascii="Arial" w:cs="Arial" w:eastAsia="Arial" w:hAnsi="Arial"/>
          <w:sz w:val="18"/>
          <w:szCs w:val="18"/>
          <w:color w:val="auto"/>
        </w:rPr>
        <w:t>Further, we plan to expand existing platform capabilities and launch new products, such as Tenable.io Lumin,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w:t>
      </w:r>
    </w:p>
    <w:p>
      <w:pPr>
        <w:spacing w:after="0" w:line="204"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Our ability to increase sales to existing customers will depend on a number of factors, including satisfaction or dissatisfaction with our products and services, competition, pricing, economic conditions or overall changes in our spending levels.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These investment activities could increase our net losses over the short term if our revenue growth does not increase at higher rates. However, we expect that these investments will ultimately benefit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47"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and financial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20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 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20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and that the variability in total billings, depending on the timing of large multi-year contracts and the preference for annual billing versus multi-year upfront billing, may distort growth in one period over another. 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For example, calculated current billings include amounts that have not yet been recognized as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0" w:right="259" w:bottom="1440" w:gutter="0" w:footer="0" w:header="0"/>
        </w:sectPr>
      </w:pPr>
    </w:p>
    <w:bookmarkStart w:id="22" w:name="page23"/>
    <w:bookmarkEnd w:id="2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an increasing number of large sales transactions, for which the timing has and will continue to vary, may occur in quarters subsequent to or in advance of those that we anticipate; and our calculation of current billings may be different from other companies that report similar financial measures. Additionally, calculated current billings in any one period may be impacted by the timing of customer renewals, including early renewals, which could favorably or unfavorably impact year-over-year comparisons. Because of these and other limitations, you should consider calculated current billings along with revenue and our other GAAP financial results.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80,301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59,107</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Add: Deferred revenue (current), end of period</w:t>
            </w: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214,508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160,503</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Deferred revenue (current),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(213,644)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(154,898)</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Calculated current billings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81,165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64,712</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 acquisitions. We believe that free cash flow is useful to investors as a liquidity measure because it measures our ability to generate or use cash.</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our GAAP financial measures.</w:t>
      </w:r>
    </w:p>
    <w:p>
      <w:pPr>
        <w:spacing w:after="0" w:line="209"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The following table presents a reconciliation of net cash (used in) provided by operating activities, the most directly comparable financial measure calculated in accordance with GAAP, to free cash flow: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Free cash flow</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83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Free cash flow for the three months ended March 31, 2019 was reduced by $4.9 million related to employee stock purchase plan activity.</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3" w:name="page24"/>
    <w:bookmarkEnd w:id="2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47"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4340" w:type="dxa"/>
            <w:vAlign w:val="bottom"/>
            <w:tcBorders>
              <w:bottom w:val="single" w:sz="8" w:color="auto"/>
            </w:tcBorders>
            <w:gridSpan w:val="5"/>
          </w:tcPr>
          <w:p>
            <w:pPr>
              <w:ind w:left="780"/>
              <w:spacing w:after="0"/>
              <w:rPr>
                <w:sz w:val="20"/>
                <w:szCs w:val="20"/>
                <w:color w:val="auto"/>
              </w:rPr>
            </w:pPr>
            <w:r>
              <w:rPr>
                <w:rFonts w:ascii="Arial" w:cs="Arial" w:eastAsia="Arial" w:hAnsi="Arial"/>
                <w:sz w:val="16"/>
                <w:szCs w:val="16"/>
                <w:b w:val="1"/>
                <w:bCs w:val="1"/>
                <w:color w:val="auto"/>
              </w:rPr>
              <w:t>Three Months Ended March 31, 2019</w:t>
            </w: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57"/>
        </w:trPr>
        <w:tc>
          <w:tcPr>
            <w:tcW w:w="7080" w:type="dxa"/>
            <w:vAlign w:val="bottom"/>
            <w:shd w:val="clear" w:color="auto" w:fill="CCEEFF"/>
          </w:tcPr>
          <w:p>
            <w:pPr>
              <w:jc w:val="right"/>
              <w:ind w:right="1908"/>
              <w:spacing w:after="0"/>
              <w:rPr>
                <w:sz w:val="20"/>
                <w:szCs w:val="20"/>
                <w:color w:val="auto"/>
              </w:rPr>
            </w:pPr>
            <w:r>
              <w:rPr>
                <w:rFonts w:ascii="Arial" w:cs="Arial" w:eastAsia="Arial" w:hAnsi="Arial"/>
                <w:sz w:val="18"/>
                <w:szCs w:val="18"/>
                <w:color w:val="auto"/>
                <w:w w:val="99"/>
              </w:rPr>
              <w:t>Number of new enterprise platform customers added in period</w:t>
            </w:r>
            <w:r>
              <w:rPr>
                <w:rFonts w:ascii="Arial" w:cs="Arial" w:eastAsia="Arial" w:hAnsi="Arial"/>
                <w:sz w:val="21"/>
                <w:szCs w:val="21"/>
                <w:color w:val="auto"/>
                <w:w w:val="99"/>
                <w:vertAlign w:val="superscript"/>
              </w:rPr>
              <w:t>(1)</w:t>
            </w:r>
          </w:p>
        </w:tc>
        <w:tc>
          <w:tcPr>
            <w:tcW w:w="138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3%</w:t>
            </w:r>
          </w:p>
        </w:tc>
      </w:tr>
      <w:tr>
        <w:trPr>
          <w:trHeight w:val="123"/>
        </w:trPr>
        <w:tc>
          <w:tcPr>
            <w:tcW w:w="7080" w:type="dxa"/>
            <w:vAlign w:val="bottom"/>
          </w:tcPr>
          <w:p>
            <w:pPr>
              <w:jc w:val="right"/>
              <w:ind w:right="6108"/>
              <w:spacing w:after="0" w:line="124" w:lineRule="exact"/>
              <w:rPr>
                <w:sz w:val="20"/>
                <w:szCs w:val="20"/>
                <w:color w:val="auto"/>
              </w:rPr>
            </w:pPr>
            <w:r>
              <w:rPr>
                <w:rFonts w:ascii="Arial" w:cs="Arial" w:eastAsia="Arial" w:hAnsi="Arial"/>
                <w:sz w:val="11"/>
                <w:szCs w:val="11"/>
                <w:color w:val="auto"/>
                <w:w w:val="95"/>
              </w:rPr>
              <w:t>_______________</w:t>
            </w: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jc w:val="both"/>
        <w:ind w:right="60" w:firstLine="8"/>
        <w:spacing w:after="0" w:line="253" w:lineRule="auto"/>
        <w:tabs>
          <w:tab w:leader="none" w:pos="378"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or SecurityCenter for an annual amount of $5,000 or greater. New enterprise platform customers represent new customer logos during the periods presented and do not include customer conversions from Nessus Professional to enterprise platforms.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At March 31,</w:t>
            </w:r>
          </w:p>
        </w:tc>
        <w:tc>
          <w:tcPr>
            <w:tcW w:w="136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1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customers with $100,000 and greater in annual contract value at end of</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period</w:t>
            </w:r>
          </w:p>
        </w:tc>
        <w:tc>
          <w:tcPr>
            <w:tcW w:w="13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61%</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use non-GAAP loss from operations, which excludes the effect of stock-based compensation and amortization of intangible assets, as a key indicator of our financial performance, along with non -GAAP operating margin, which is calculated as non-GAAP loss from operations divided by our revenue in the period. 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loss from operations and non-GAAP operating margin exclude stock-based compensation expense, which has been, and will continue to be for the foreseeable future, a significant recurring expense in our business and an important part of our compensation strategy.</w:t>
      </w:r>
    </w:p>
    <w:p>
      <w:pPr>
        <w:spacing w:after="0" w:line="20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loss from operations, and operating margin, the most directly comparable financial measure calculated in accordance with GAAP, to non-GAAP operating margin: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r>
      <w:tr>
        <w:trPr>
          <w:trHeight w:val="257"/>
        </w:trPr>
        <w:tc>
          <w:tcPr>
            <w:tcW w:w="8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(22,685)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(15,449)</w:t>
            </w:r>
          </w:p>
        </w:tc>
      </w:tr>
      <w:tr>
        <w:trPr>
          <w:trHeight w:val="263"/>
        </w:trPr>
        <w:tc>
          <w:tcPr>
            <w:tcW w:w="80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2"/>
                <w:szCs w:val="22"/>
                <w:color w:val="auto"/>
              </w:rPr>
            </w:pP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9,319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2,399</w:t>
            </w:r>
          </w:p>
        </w:tc>
      </w:tr>
      <w:tr>
        <w:trPr>
          <w:trHeight w:val="270"/>
        </w:trPr>
        <w:tc>
          <w:tcPr>
            <w:tcW w:w="8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151</w:t>
            </w:r>
          </w:p>
        </w:tc>
      </w:tr>
      <w:tr>
        <w:trPr>
          <w:trHeight w:val="297"/>
        </w:trPr>
        <w:tc>
          <w:tcPr>
            <w:tcW w:w="8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loss from operations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(13,215)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(12,899)</w:t>
            </w:r>
          </w:p>
        </w:tc>
      </w:tr>
      <w:tr>
        <w:trPr>
          <w:trHeight w:val="305"/>
        </w:trPr>
        <w:tc>
          <w:tcPr>
            <w:tcW w:w="8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8080" w:type="dxa"/>
            <w:vAlign w:val="bottom"/>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7"/>
        </w:trPr>
        <w:tc>
          <w:tcPr>
            <w:tcW w:w="8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operating margin</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Loss, Non-GAAP Net Loss Per Share and Pro Forma Non-GAAP Net Loss Per Share</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use non-GAAP net loss, which excludes the effect of the accretion of Series A and B redeemable convertible preferred stock, stock-based compensation and amortization of intangible assets, as well as the related tax impact, to calculate non-GAAP net loss per share and pro forma non-GAAP net loss per share. Pro forma non-GAAP net loss per share is calculated by giving effect to the conversion of our redeemable convertible preferred stock into common stock as though the conversion occurred at the beginning of each period presented prior to 2019. We believe that these non-GAAP measures provide important information to management and investors because they facilitate comparisons of our core operating results over multiple periods.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4" w:name="page25"/>
    <w:bookmarkEnd w:id="2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following table presents a reconciliation of net loss, and net loss per share attributable to common stockholders, the most comparable financial measures calculated in accordance with GAAP, to non-GAAP net loss, non-GAAP net loss per share and pro forma non-GAAP net loss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amounts)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24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9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net loss per share, basic and diluted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 attributable to common stockholders and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non-GAAP net loss per share, basic and diluted</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93,738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23,495</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rPr>
              <w:t>Pro forma adjustment to reflect the assumed conversion of our convertible redeemable preferred stock</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120"/>
              <w:spacing w:after="0"/>
              <w:rPr>
                <w:sz w:val="20"/>
                <w:szCs w:val="20"/>
                <w:color w:val="auto"/>
              </w:rPr>
            </w:pPr>
            <w:r>
              <w:rPr>
                <w:rFonts w:ascii="Arial" w:cs="Arial" w:eastAsia="Arial" w:hAnsi="Arial"/>
                <w:sz w:val="18"/>
                <w:szCs w:val="18"/>
                <w:color w:val="auto"/>
              </w:rPr>
              <w:t>as of the beginning of the period</w:t>
            </w:r>
          </w:p>
        </w:tc>
        <w:tc>
          <w:tcPr>
            <w:tcW w:w="2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55,386</w:t>
            </w:r>
          </w:p>
        </w:tc>
        <w:tc>
          <w:tcPr>
            <w:tcW w:w="0" w:type="dxa"/>
            <w:vAlign w:val="bottom"/>
          </w:tcPr>
          <w:p>
            <w:pPr>
              <w:spacing w:after="0"/>
              <w:rPr>
                <w:sz w:val="1"/>
                <w:szCs w:val="1"/>
                <w:color w:val="auto"/>
              </w:rPr>
            </w:pPr>
          </w:p>
        </w:tc>
      </w:tr>
      <w:tr>
        <w:trPr>
          <w:trHeight w:val="25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pro forma non-GAAP net loss per share, basic and diluted</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93,738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78,881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non-GAAP net loss per share, 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1"/>
                <w:szCs w:val="11"/>
                <w:color w:val="auto"/>
              </w:rPr>
              <w:t>________________</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3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right="20" w:firstLine="8"/>
        <w:spacing w:after="0" w:line="253" w:lineRule="auto"/>
        <w:tabs>
          <w:tab w:leader="none" w:pos="37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tax impact of the adjustments to net loss attributable to common stockholders is based on the tax treatment for applicable tax jurisdictions. There was no tax impact related to the amortization of intangible assets as it was incurred in the United States in periods in which we had a net operating loss for which we maintained a full valuation allowance.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jc w:val="both"/>
        <w:ind w:right="600" w:firstLine="324"/>
        <w:spacing w:after="0" w:line="256"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 We begin to recognize revenue when control of our software or services is transferred to the customer, which for sales made through distributors is concurrent with the transfer to the end user.</w:t>
      </w:r>
    </w:p>
    <w:p>
      <w:pPr>
        <w:spacing w:after="0" w:line="202"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and allow customers to use our software or cloud-based solutions, including ongoing software updates during the contractual period. Revenue is recognized ratably over the subscription term given the critical utility provided by the ongoing updates that are released throughout the contract period.</w:t>
      </w:r>
    </w:p>
    <w:p>
      <w:pPr>
        <w:spacing w:after="0" w:line="202"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5" w:name="page26"/>
    <w:bookmarkEnd w:id="2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Our recent growth and the ratable nature of our subscription revenue makes this seasonality less apparent in our overall financial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and stock-based compensation. Cost of revenue also includes hosting costs for Tenable.io, the costs related to professional services and training, depreciation and amortization and allocated overhead costs, which consist of information technology and facilities.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our customer support team as we grow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We expect our gross profit to increase in absolute dollars but our gross margin to decrease, as we expect revenue from our cloud-based subscriptions to increase as a percentage of revenue, although our gross margin could fluctuate from period to period depending on the interplay of all of these factors.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 bonuses, payroll taxes and stock-based compensation expense. Operating expenses also include depreciation and amortization as well as allocated overhead costs including IT and facilities costs.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4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and events and allocated overhead costs.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0" w:right="259" w:bottom="1440" w:gutter="0" w:footer="0" w:header="0"/>
        </w:sectPr>
      </w:pPr>
    </w:p>
    <w:bookmarkStart w:id="26" w:name="page27"/>
    <w:bookmarkEnd w:id="2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intend to continue to make significant investments in our sales and marketing teams to grow revenue, further penetrate the market and expand our global customer base. We expect our sales and marketing expense to continue to increase in absolute dollars and to be our largest operating expense category for the foreseeable future. However, as our revenue increases, we expect our sales and marketing expense to decrease as a percentage of our revenue over the long term, although our sales and marketing expense may fluctuate as a percentage of our revenue from period to period due to the timing and extent of these expenses.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4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20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expect our research and development expense to continue to increase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as a percentage of our revenue from period to period due to the timing and extent of these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43"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and allocated overhead.</w:t>
      </w:r>
    </w:p>
    <w:p>
      <w:pPr>
        <w:spacing w:after="0" w:line="19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expect our general and administrative expense to continue to increase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as a percentage of our revenue from period to period due to the timing and extent of these expenses.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4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Interest income (expense), net consists primarily of interest income earned on cash and cash equivalents and short-term investments, and interest expense in connection with fees for our unused revolving credit facility.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income, net consists primarily of foreign currency remeasurement and transaction gains and losses.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Provision for income taxes consists primarily of income taxes in certain foreign jurisdictions in which we conduct business.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40" w:right="279" w:bottom="1440" w:gutter="0" w:footer="0" w:header="0"/>
        </w:sectPr>
      </w:pPr>
    </w:p>
    <w:bookmarkStart w:id="27" w:name="page28"/>
    <w:bookmarkEnd w:id="27"/>
    <w:p>
      <w:pPr>
        <w:jc w:val="center"/>
        <w:ind w:right="95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jc w:val="right"/>
              <w:ind w:right="23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59,107</w:t>
            </w:r>
          </w:p>
        </w:tc>
        <w:tc>
          <w:tcPr>
            <w:tcW w:w="0" w:type="dxa"/>
            <w:vAlign w:val="bottom"/>
          </w:tcPr>
          <w:p>
            <w:pPr>
              <w:spacing w:after="0"/>
              <w:rPr>
                <w:sz w:val="1"/>
                <w:szCs w:val="1"/>
                <w:color w:val="auto"/>
              </w:rPr>
            </w:pPr>
          </w:p>
        </w:tc>
      </w:tr>
      <w:tr>
        <w:trPr>
          <w:trHeight w:val="27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13,226</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8,728</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50,379</w:t>
            </w:r>
          </w:p>
        </w:tc>
        <w:tc>
          <w:tcPr>
            <w:tcW w:w="0" w:type="dxa"/>
            <w:vAlign w:val="bottom"/>
          </w:tcPr>
          <w:p>
            <w:pPr>
              <w:spacing w:after="0"/>
              <w:rPr>
                <w:sz w:val="1"/>
                <w:szCs w:val="1"/>
                <w:color w:val="auto"/>
              </w:rPr>
            </w:pPr>
          </w:p>
        </w:tc>
      </w:tr>
      <w:tr>
        <w:trPr>
          <w:trHeight w:val="263"/>
        </w:trPr>
        <w:tc>
          <w:tcPr>
            <w:tcW w:w="82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39,588</w:t>
            </w:r>
          </w:p>
        </w:tc>
        <w:tc>
          <w:tcPr>
            <w:tcW w:w="0" w:type="dxa"/>
            <w:vAlign w:val="bottom"/>
          </w:tcPr>
          <w:p>
            <w:pPr>
              <w:spacing w:after="0"/>
              <w:rPr>
                <w:sz w:val="1"/>
                <w:szCs w:val="1"/>
                <w:color w:val="auto"/>
              </w:rPr>
            </w:pPr>
          </w:p>
        </w:tc>
      </w:tr>
      <w:tr>
        <w:trPr>
          <w:trHeight w:val="270"/>
        </w:trPr>
        <w:tc>
          <w:tcPr>
            <w:tcW w:w="8240" w:type="dxa"/>
            <w:vAlign w:val="bottom"/>
          </w:tcPr>
          <w:p>
            <w:pPr>
              <w:ind w:left="2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21,935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17,185</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89,760</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65,828</w:t>
            </w: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(22,685)</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(15,449)</w:t>
            </w:r>
          </w:p>
        </w:tc>
        <w:tc>
          <w:tcPr>
            <w:tcW w:w="0" w:type="dxa"/>
            <w:vAlign w:val="bottom"/>
          </w:tcPr>
          <w:p>
            <w:pPr>
              <w:spacing w:after="0"/>
              <w:rPr>
                <w:sz w:val="1"/>
                <w:szCs w:val="1"/>
                <w:color w:val="auto"/>
              </w:rPr>
            </w:pPr>
          </w:p>
        </w:tc>
      </w:tr>
      <w:tr>
        <w:trPr>
          <w:trHeight w:val="263"/>
        </w:trPr>
        <w:tc>
          <w:tcPr>
            <w:tcW w:w="8240" w:type="dxa"/>
            <w:vAlign w:val="bottom"/>
          </w:tcPr>
          <w:p>
            <w:pPr>
              <w:ind w:left="280"/>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82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(21,343)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(15,457)</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(21,440)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(15,888)</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8240" w:type="dxa"/>
            <w:vAlign w:val="bottom"/>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9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3"/>
        </w:trPr>
        <w:tc>
          <w:tcPr>
            <w:tcW w:w="82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3,366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7"/>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2,030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3,271</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9,319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80,301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59,107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21,194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1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increase in revenue of $21.2 million was comprised of increases in subscription revenue of $20.4 million, perpetual license and maintenance revenue of $0.1 million and professional services and other revenue of $0.7 million. Revenue from existing customers comprised 41% of the increase, while the remaining increase was due to revenue from new customers since April 1, 2018. International revenue increased $9.2 million, or 48%.</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28" w:name="page29"/>
    <w:bookmarkEnd w:id="2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9"/>
                <w:szCs w:val="19"/>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w:t>
            </w:r>
          </w:p>
        </w:tc>
      </w:tr>
      <w:tr>
        <w:trPr>
          <w:trHeight w:val="25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13,226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8,728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4,498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2"/>
                <w:szCs w:val="22"/>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67,075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50,379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16,696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$4.5 million was primarily due to:</w:t>
      </w:r>
    </w:p>
    <w:p>
      <w:pPr>
        <w:spacing w:after="0" w:line="117" w:lineRule="exact"/>
        <w:rPr>
          <w:sz w:val="20"/>
          <w:szCs w:val="20"/>
          <w:color w:val="auto"/>
        </w:rPr>
      </w:pPr>
    </w:p>
    <w:p>
      <w:pPr>
        <w:ind w:left="660" w:right="60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$1.9 million increase in personnel costs primarily due to increased headcount, including a $0.6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$1.0 million increase in third-party cloud infrastructure costs largely associated with the increased adoption of Tenable.io;</w:t>
      </w:r>
    </w:p>
    <w:p>
      <w:pPr>
        <w:spacing w:after="0" w:line="63"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$0.8 million increase in allocated overhead costs driven by both the increase in headcount and the overall increase in such costs on a year-over-year basis; and</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$0.2 million increase in software subscription expenses.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52,689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39,588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13,101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$13.1 million was primarily due to:</w:t>
      </w:r>
    </w:p>
    <w:p>
      <w:pPr>
        <w:spacing w:after="0" w:line="117" w:lineRule="exact"/>
        <w:rPr>
          <w:sz w:val="20"/>
          <w:szCs w:val="20"/>
          <w:color w:val="auto"/>
        </w:rPr>
      </w:pPr>
    </w:p>
    <w:p>
      <w:pPr>
        <w:ind w:left="660" w:right="18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$9.3 million increase in personnel costs largely associated with an increase in headcount, including a $2.8 million increase in stock-based compensation and a $1.0 million increase in the employer portion of payroll taxes related to option exercises;</w:t>
      </w:r>
    </w:p>
    <w:p>
      <w:pPr>
        <w:spacing w:after="0" w:line="34"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$2.1 million increase in sales commissions, including sales commission draws, due to increased sales and the amortization of deferred commissions;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$1.6 million increase in selling expenses, including travel and meeting costs and the costs of software subscriptions;</w:t>
      </w:r>
    </w:p>
    <w:p>
      <w:pPr>
        <w:spacing w:after="0" w:line="63"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$1.0 million increase in expenses for demand generation programs, including advertising, sponsorships and brand awareness efforts aimed at acquiring new customers;</w:t>
      </w:r>
    </w:p>
    <w:p>
      <w:pPr>
        <w:spacing w:after="0" w:line="34"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$0.6 million increase in allocated overhead costs, driven by both the increase in headcount and the overall increase in such costs on a year-over-year basis; partially offset by</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$1.6 million decrease in expenses related to the timing of our annual user conference.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4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9"/>
                <w:szCs w:val="19"/>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7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21,935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17,185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$4.8 million was primarily due to:</w:t>
      </w:r>
    </w:p>
    <w:p>
      <w:pPr>
        <w:spacing w:after="0" w:line="117" w:lineRule="exact"/>
        <w:rPr>
          <w:sz w:val="20"/>
          <w:szCs w:val="20"/>
          <w:color w:val="auto"/>
        </w:rPr>
      </w:pPr>
    </w:p>
    <w:p>
      <w:pPr>
        <w:ind w:left="660" w:right="10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$4.5 million increase in personnel costs largely associated with an increase in headcount, including a $1.6 million increase in stock-based compensation and a $0.3 million increase in the employer portion of payroll taxes related to option exercises, net of $0.9 million of development costs capitalized for internal use software; and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29" w:name="page30"/>
    <w:bookmarkEnd w:id="2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$0.3 million increase in third-party cloud infrastructure costs related to the development of new and future offerings.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40" w:type="dxa"/>
            <w:vAlign w:val="bottom"/>
            <w:gridSpan w:val="4"/>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9"/>
                <w:szCs w:val="19"/>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7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15,136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6,081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$6.1 million was primarily due to:</w:t>
      </w:r>
    </w:p>
    <w:p>
      <w:pPr>
        <w:spacing w:after="0" w:line="63" w:lineRule="exact"/>
        <w:rPr>
          <w:sz w:val="20"/>
          <w:szCs w:val="20"/>
          <w:color w:val="auto"/>
        </w:rPr>
      </w:pPr>
    </w:p>
    <w:p>
      <w:pPr>
        <w:ind w:left="660" w:right="18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$4.1 million increase in personnel costs largely associated with an increase in headcount, including a $2.1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$1.1 million increase in professional fees;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$0.2 million increase in software subscription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At March 31, 2019, we had cash and cash equivalents consisting of bank deposits, commercial paper and money market funds of $168.0 million and short-term investments consisting of commercial paper, U.S Treasury and agency obligations and corporate bonds of $131.0 million.</w:t>
      </w:r>
    </w:p>
    <w:p>
      <w:pPr>
        <w:spacing w:after="0" w:line="202"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Since our inception and prior to our IPO, we financed our operations through cash provided by operations, including payments received from customers using our software products and services, and we did not raise any primary institutional capital prior to our IPO. The proceeds of our Series A and Series B redeemable convertible preferred stock financings were used to repurchase shares of capital stock from former stockholders. We have generated significant operating losses from our operations as reflected by our accumulated deficit of $487.5 million at March 31, 2019.</w:t>
      </w:r>
    </w:p>
    <w:p>
      <w:pPr>
        <w:spacing w:after="0" w:line="206"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 perpetual licenses, which is subsequently recognized as revenue in accordance with our revenue recognition policy. At March 31, 2019, we had deferred revenue of $291.9 million, of which $214.5 million was recorded as a current liability and is expected to be recorded as revenue in the next 12 months, provided all other revenue recognition criteria are met.</w:t>
      </w:r>
    </w:p>
    <w:p>
      <w:pPr>
        <w:spacing w:after="0" w:line="20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and investments in infrastructure. We expect to continue incurring operating losses and generating negative cash flows from operations in the near-term; however, we believe that our existing cash and cash equivalents and short-term investments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such as our new corporate headquarters, the expansion of sales and marketing and international operating activities, the timing of introduction of new product capabilities and enhancements of our platform and the continuing market acceptance of our platform.</w:t>
      </w:r>
    </w:p>
    <w:p>
      <w:pPr>
        <w:spacing w:after="0" w:line="206"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including intellectual property rights. We may be required to seek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0" w:name="page31"/>
    <w:bookmarkEnd w:id="3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7"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In May 2017, we entered into a $25.0 million revolving credit facility with Silicon Valley Bank. Pursuant to the terms of the revolving credit facility, we may issue up to $5.0 million of letters of credit, which reduce the total amount available for borrowing under such facility. The revolving credit facility terminates on May 4, 2020. To date, we have not borrowed any amounts under the revolving credit facility.</w:t>
      </w:r>
    </w:p>
    <w:p>
      <w:pPr>
        <w:spacing w:after="0" w:line="20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We are required to pay a quarterly commitment fee that accrues at a rate of 0.25% per annum on the unused portion of the borrowing commitment.</w:t>
      </w:r>
    </w:p>
    <w:p>
      <w:pPr>
        <w:spacing w:after="0" w:line="202"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restrictions on indebtedness, liens, acquisitions and investments, restricted payments and dispositions. If, as of the last day of any quarter, the outstanding balance of the revolving credit facility exceeds $5.0 million, there are financial covenants that require us to maintain a minimum level of earnings before income taxes, interest, depreciation and amortization adjusted to add changes in deferred revenue in the period and a minimum current ratio level. We were in compliance with all covenants under the revolving credit facility at March 31, 2019.</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504</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(14,471)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(1,596)</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18,453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In the three months ended March 31, 2019, net cash used in operating activities was $0.9 million, which primarily consisted of our $21.4 million loss, adjusted for stock-based compensation expense of $9.3 million and depreciation and amortization of $1.6 million, as well as a net cash inflow of $ 9.9 million from changes in operating assets and liabilities. The net inflow from changes in operating assets and liabilities was primarily due to a $11.1 million decrease in accounts receivable due to collections from customers and a $2.0 million increase in deferred revenue primarily due to increased subscription sales as a majority of our customers are invoiced in advance. The net inflow from changes in operating assets and liabilities was partially offset by a $7.2 million decrease in accrued compensation, including $4.9 million related to employee stock purchase plan activity, and quarterly bonuses and commissions earned in the fourth quarter of 2018 that were paid in the first quarter of 2019.</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three months ended March 31, 2018, net cash provided by operating activities was $0.5 million, which primarily consisted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$15.9 million loss, adjusted for stock-based compensation expense of $2.4 million and depreciation and amortization of $1.5 million, as well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net cash inflow of $12.5 million from changes in operating assets and liabilities. The net inflow from changes in operating assets and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primarily due to a $7.8 million decrease in accounts receivable due to collections from customers and a $4.8 million increase in deferred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from increased subscription sales as a majority of our customers are invoiced in advance, partially offset by quarterly bonuses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commissions earned in the fourth quarter of 2017 that were paid in the first quarter of 2018.</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Net cash used in investing activities increased by $12.9 million, primarily due to the purchase, net of any sales and maturities, of short-term investments in commercial paper, U.S. Treasury and agency obligations and corporate bonds.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1" w:name="page32"/>
    <w:bookmarkEnd w:id="3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Net cash provided by financing activities increased by $18.1 million, primarily due to $9.9 million and $8.6 million of proceeds from stock issued in connection with the exercise of stock options and the employee stock purchase plan,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2019, there were no material changes in our contractual obligations and commitments from those disclosed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At March 31, 2019,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Refer to Note 1 to our consolidated financial statements for more information regarding recently issued accounting pronouncements not yet adopted.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47" w:lineRule="exact"/>
        <w:rPr>
          <w:sz w:val="20"/>
          <w:szCs w:val="20"/>
          <w:color w:val="auto"/>
        </w:rPr>
      </w:pPr>
    </w:p>
    <w:p>
      <w:pPr>
        <w:jc w:val="both"/>
        <w:ind w:right="120" w:firstLine="324"/>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0" w:right="259" w:bottom="1440" w:gutter="0" w:footer="0" w:header="0"/>
        </w:sectPr>
      </w:pPr>
    </w:p>
    <w:bookmarkStart w:id="32" w:name="page33"/>
    <w:bookmarkEnd w:id="3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At March 31, 2019, we had cash and cash equivalents of $168.0 million, consisting of cash deposits, commercial paper and money market funds. We also had short-term investments of $ 131.0 million, consisting of commercial paper, U.S. Treasury securities, and corporate bonds. Our investments are carried at their fair market value with cumulative unrealized gains or losses recorded as a component of accumulated other comprehensive income (loss)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07"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We have not had any amounts outstanding under the revolving credit facility since it was established in May 2017. Any borrowings under the revolving credit facility would bear interest at a variable rate tied to the prime rate or the LIBOR rate. We do not have any other long-term debt or financial liabilities with floating interest rates that would subject us to interest rate fluctuations.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and Australian dollar.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March 31, 2019, our disclosure controls and procedures were effective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3" w:name="page34"/>
    <w:bookmarkEnd w:id="3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 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w:t>
      </w:r>
    </w:p>
    <w:p>
      <w:pPr>
        <w:spacing w:after="0" w:line="2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15d-15(d) of the Exchange Act during the period covered by this Quarterly Report on Form 10-Q that materially affected, or are reasonably likely to materially affect, our internal control over financial reporting.</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40" w:right="279" w:bottom="1440" w:gutter="0" w:footer="0" w:header="0"/>
        </w:sectPr>
      </w:pPr>
    </w:p>
    <w:bookmarkStart w:id="34" w:name="page35"/>
    <w:bookmarkEnd w:id="3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Quarterly Report on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have historically incurred net losses, including net losses of $21.4 million and $15.9 million in the three months ended March 31, 2019 and 2018, respectively. As of March 31, 2019, we had an accumulated deficit of $487.5 million. Because the market for our offerings is highly competitive and rapidly evolving and these solutions have not yet reached widespread adoption, it is difficult for us to predict our future results of operations. 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9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2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40" w:right="259" w:bottom="1440" w:gutter="0" w:footer="0" w:header="0"/>
        </w:sectPr>
      </w:pPr>
    </w:p>
    <w:bookmarkStart w:id="35" w:name="page36"/>
    <w:bookmarkEnd w:id="3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From the three months ended March 31, 2018 to the three months ended March 31, 2019, our revenue grew from $59.1 million to $80.3 million.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9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25"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202"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74" w:lineRule="exact"/>
        <w:rPr>
          <w:sz w:val="20"/>
          <w:szCs w:val="20"/>
          <w:color w:val="auto"/>
        </w:rPr>
      </w:pPr>
    </w:p>
    <w:p>
      <w:pPr>
        <w:ind w:right="540" w:firstLine="324"/>
        <w:spacing w:after="0" w:line="269"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may not be immediately reflected in our revenue results for that period. This decline, however, will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6" w:name="page37"/>
    <w:bookmarkEnd w:id="3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or with third-party products, websites or services, our results of operations may be harmed.</w:t>
      </w:r>
    </w:p>
    <w:p>
      <w:pPr>
        <w:spacing w:after="0" w:line="175"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Our enterprise platform offerings, Tenable.io and Tenable.sc,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such as HTTP/2,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1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184"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or if they contain undetected errors or defects, our brand and reputation could be harmed.</w:t>
      </w:r>
    </w:p>
    <w:p>
      <w:pPr>
        <w:spacing w:after="0" w:line="175"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If our solutions fail to detect vulnerabilities in our customers’ cybersecurity infrastructure, or if our solutions fail to identify new and increasingly complex methods of cyberattacks, our business and reputation may suffer. There is no guarantee that our solutions will detect all vulnerabilities, especially in light of the rapidly changing security landscape to which we must respond.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may therefore adversely impact market acceptance of our products and could result in negative publicity, loss of customers and sales and increased costs to remedy any problem.</w:t>
      </w:r>
    </w:p>
    <w:p>
      <w:pPr>
        <w:spacing w:after="0" w:line="206"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Our solutions may also contain undetected errors or defects when first introduced or as new versions are released. We have experienced these errors or defects in the past in connection with new solutions and product upgrades and we expect that these errors or defects will be found from time to time in the future in new or enhanced solutions after commercial release. Defects may cause our solutions to be vulnerable to attacks, cause them to fail to detect vulnerabilities, or temporarily interrupt customers’ networking traffic. Any errors, defects, disruptions in service or other performance problems with our solutions may damage our customers’ business and could hurt our reputation. If our solutions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1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brand and our offerings and subject us to legal claims.</w:t>
      </w:r>
    </w:p>
    <w:p>
      <w:pPr>
        <w:spacing w:after="0" w:line="180"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75"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7" w:name="page38"/>
    <w:bookmarkEnd w:id="3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2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IT assets under such subscriptions, with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customers delaying purchasing decisions in anticipation of new developments or enhancements by us or our competitors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our effective tax rate; and</w:t>
      </w:r>
    </w:p>
    <w:p>
      <w:pPr>
        <w:spacing w:after="0" w:line="9"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w:t>
      </w:r>
    </w:p>
    <w:p>
      <w:pPr>
        <w:spacing w:after="0" w:line="19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Any one of these or other factors discussed elsewhere in this Quarterly Report on Form 10-Q,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7"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and broader global distribution and presence. In addition, our industry</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0" w:right="259" w:bottom="1440" w:gutter="0" w:footer="0" w:header="0"/>
        </w:sectPr>
      </w:pPr>
    </w:p>
    <w:bookmarkStart w:id="38" w:name="page39"/>
    <w:bookmarkEnd w:id="3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is evolving rapidly and is becoming increasingly competitive. Larger and more established companies may focus on cybersecurity and could directly compete with us. Smaller companies could also launch new products and services that we do not offer and that could gain market acceptance quickly.</w:t>
      </w:r>
    </w:p>
    <w:p>
      <w:pPr>
        <w:spacing w:after="0" w:line="20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competitors may be able to respond more quickly and effectively than we can to new or changing opportunities, technologies, standards or customer requirements or new or evolving attacks by, or indicators of compromise that identify, cyber bad actors. With the introduction of new technologies, the evolution of our offerings and new market entrants, we expect competition to intensify in the future. 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offerings and cause the average sales price for our offerings to decline. These larger competitors are also often in a better position to withstand any significant reduction in capital spending, and will therefore not be as susceptible to economic downturns. One component of our enterprise platform involves assessing Cyber Exposure in a public cloud environment. We are dependent upon the public cloud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1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If we do not continue to innovate and offer solutions that address the dynamic cybersecurity landscape, we may not remain competitive.</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cybersecurity market is characterized by very rapid technological advances, changes in customer requirements, frequent new product introductions and enhancements and evolving industry standards. Our success also depends on continued innovation to provide features that make our solutions responsive to the cybersecurity landscape. While we continue to invest significant resources in research and development in order to ensure that our solutions continue to address the cyber security risks that our customers face, the introduction of solutions and services embodying new technologies could render our existing solutions or services obsolete or less attractive to customers. In addition, developing new solutions and product enhancements is expensive and time-consuming, and there is no assurance that such activities will result in significant cost savings, revenue or other expected benefits. For example, we plan to release a new product, Tenable.io Lumin, and there can be no assurance that product will offer the benefits we expect or generate customer interest. We may also face delays or uncertainty in our release timing for Tenable.io Lumin that may be costly or reduce the benefits of Lumin.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w:t>
      </w:r>
    </w:p>
    <w:p>
      <w:pPr>
        <w:spacing w:after="0" w:line="18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39" w:name="page40"/>
    <w:bookmarkEnd w:id="3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Quarterly Report on Form 10-Q.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21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while customers are typically invoiced in advance, including multi-year contracts, and our contracts generally do not provide for refunds during the subscription or maintenance period, a small number of customers could take the position that provisions in their customer agreements give them the right to terminate their agreement with us, or allege a material breach of their agreement with us, due to or in connection with the sale of our common stock. Early termination of these customer agreements for these reasons would generally only allow us to retain fees already paid by the customer for services rendered prior to the termination. Termination of these agreements, or allegations that we have breached one of these agreements with them, could decrease our customer revenue and increase legal and administrative costs.</w:t>
      </w:r>
    </w:p>
    <w:p>
      <w:pPr>
        <w:spacing w:after="0" w:line="187"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performance of our solutions and network infrastructure.</w:t>
      </w:r>
    </w:p>
    <w:p>
      <w:pPr>
        <w:spacing w:after="0" w:line="175"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human or software errors, capacity constraints and fraud or cybersecurity attacks. In some instances, we may not be able to identify the cause or causes of these performance problems within an acceptable period of time.</w:t>
      </w:r>
    </w:p>
    <w:p>
      <w:pPr>
        <w:spacing w:after="0" w:line="20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Prolonged delays or unforeseen difficulties in connection with adding capacity or upgrading our network architecture when required may cause our service quality to suffer. Problems with the reliability or security of our systems could harm our reputation. Damage to our reputation and the cost of remedying these problems could negatively affect our business, financial condition, and operating results.</w:t>
      </w:r>
    </w:p>
    <w:p>
      <w:pPr>
        <w:spacing w:after="0" w:line="20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 cause us to issue credits to customers, subject us to potential liability and cause customers to not renew their purchases of our solutions.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0" w:right="259" w:bottom="1440" w:gutter="0" w:footer="0" w:header="0"/>
        </w:sectPr>
      </w:pPr>
    </w:p>
    <w:bookmarkStart w:id="40" w:name="page41"/>
    <w:bookmarkEnd w:id="4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7"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continue to grow, we may not be able to manage our growth effectively.</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have recently experienced a period of rapid growth in our headcount and operations. In particular, we grew from 984 employees as of December 31, 2017 to 1,298 employees as of March 31, 2019. We have also significantly increased the size of our customer base over the last several years. We anticipate that we will continue to significantly expand our operations and headcount in the near term. Our growth has placed, and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our growth could result in difficulty or delays in deploying our solutions and services to customers, declines in quality or customer satisfaction, increases in costs, difficulties in introducing new features or other operational difficulties. Any of these difficulties could adversely impact our business performance and results of operations.</w:t>
      </w:r>
    </w:p>
    <w:p>
      <w:pPr>
        <w:spacing w:after="0" w:line="213" w:lineRule="exact"/>
        <w:rPr>
          <w:sz w:val="20"/>
          <w:szCs w:val="20"/>
          <w:color w:val="auto"/>
        </w:rPr>
      </w:pPr>
    </w:p>
    <w:p>
      <w:pPr>
        <w:jc w:val="both"/>
        <w:ind w:right="280" w:firstLine="324"/>
        <w:spacing w:after="0" w:line="253" w:lineRule="auto"/>
        <w:rPr>
          <w:sz w:val="20"/>
          <w:szCs w:val="20"/>
          <w:color w:val="auto"/>
        </w:rPr>
      </w:pPr>
      <w:r>
        <w:rPr>
          <w:rFonts w:ascii="Arial" w:cs="Arial" w:eastAsia="Arial" w:hAnsi="Arial"/>
          <w:sz w:val="18"/>
          <w:szCs w:val="18"/>
          <w:color w:val="auto"/>
        </w:rPr>
        <w:t>Our rapid growth also makes it difficult to evaluate our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risks successfully, our operating and financial results could differ materially from our expectations, our business could suffer and the trading price of our stock may decline.</w:t>
      </w:r>
    </w:p>
    <w:p>
      <w:pPr>
        <w:spacing w:after="0" w:line="184"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7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Further, the length of time that potential customers devote to their testing and evaluation, contract negotiation and budgeting processes varies significantly, depending on the size of the organization and nature of the product or service under consideration.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1" w:name="page42"/>
    <w:bookmarkEnd w:id="4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b w:val="1"/>
          <w:bCs w:val="1"/>
          <w:i w:val="1"/>
          <w:iCs w:val="1"/>
          <w:color w:val="auto"/>
        </w:rPr>
        <w:t>Regulatory, legislative or self-regulatory standard developments regarding privacy and data security matters could adversely affect our ability to conduct our business.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along with a significant number of our customers, are subject to laws, rules, regulations and industry standards related to data privacy and cyber security, and restrictions or technological requirements regarding the collection, use, storage, protection, retention or transfer of data. In addition to current privacy and data security regulations currently in force in the jurisdictions where we operate, the General Data Protection Regulation, or GDPR came into force in May 2018. The GDPR contains numerous requirements and changes from prior European Union, or EU, law, including more robust obligations on data processors and data controllers, greater rights for data subjects, and heavier documentation requirements for data protection compliance programs. Specifically, the GDPR introduced numerous privacy-related changes for companies operating in the EU, including greater control over personal data by data subjects, such as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 We have an internal data privacy function that oversees and supervises our compliance with European data protection regulations. In the United States and globally, governments and agencies have adopted, and could in the future adopt, modify, apply or enforce laws, policies, regulations, and standards covering data subject privacy, data security, technologies such as cookies that are used to collect, store and/or process data, marketing online, the use of data to inform marketing, the taxation of products and services, unfair and deceptive practices and the collection, including the collection of information, use, processing, transfer, storage and/or disclosure of data associated with unique individual internet users. We may be subject directly or via contract to such laws, policies, regulations, and standards. New regulation or legislative actions regarding data privacy and security, together with applicable industry standards, may increase the costs of doing business and could have a material adverse impact on our operations and cash flows.</w:t>
      </w:r>
    </w:p>
    <w:p>
      <w:pPr>
        <w:spacing w:after="0" w:line="20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While we have taken steps to mitigate the impact on us, such as implementing standard contractual clauses as appropriate and self-certifying under the EU-US Privacy Shield, the efficacy and longevity of these mechanisms remains uncertain. Potential or actual legal proceeding could lead to one or both of these mechanisms being declared invalid. Further, local data protection authorities general may have different interpretations of the GDPR, leading to potential inconsistencies amongst various EU states.</w:t>
      </w:r>
    </w:p>
    <w:p>
      <w:pPr>
        <w:spacing w:after="0" w:line="20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Similarly, there are a number of federal and state level legislative proposals in the United States that could impose new obligations on us. For example, California recently enacted the California Consumer Privacy Act, or the CCPA, which creates new individual privacy rights for consumers and places increased privacy and security obligations on entities handling the personal data of consumers or households. When it goes into effect on January 1, 2020, the CCPA will require covered companies to provide new disclosures to California consumers, which could include certain of our employees based on the broad definitions in the law, to provide such consumers new ways to opt out of certain sales of personal information and to allow for a new causes of action for data breaches.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20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If we are investigated by an applicable data protection authority or are determined to have not complied with applicable laws, we may face fines and other penalties. Any such investigation or charges by applicable data protection authorities could have a negative effect on our existing business and on our ability to attract and retain new customers. Existing and proposed laws and regulations can be costly to comply with, could expose us to significant penalties for non-compliance, can delay or impede the development or adoption of our products and services, reduce the overall demand for our services, result in negative publicity, increase our operating costs, require significant management time and attention and subject us to claims or other remedies, including fines or demands that we modify or cease existing business practices.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2" w:name="page43"/>
    <w:bookmarkEnd w:id="4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order to help facilitate sales of our offerings as part of larger purchases in the United States and to grow our business internationally. In the three months ended March 31, 2019 and 2018 we derived 90% and 86%, respectively, of our revenue from subscriptions and perpetual licenses sold through channel partners, and the percentage of revenue derived from channel partners may increase in future periods.</w:t>
      </w:r>
    </w:p>
    <w:p>
      <w:pPr>
        <w:spacing w:after="0" w:line="185"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Ingram Micro, Inc., a distributor, accounted for 44% and 45% of our revenue in the three months ended March 31, 2019 and 2018, respectively, and 45% of our accounts receivable as of March 31, 2019.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w:t>
      </w:r>
    </w:p>
    <w:p>
      <w:pPr>
        <w:spacing w:after="0" w:line="20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187"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5"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1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the U.S. Foreign Corrupt Practices Act of 1977, as amended, or the FCPA, the U.K. Bribery Act 2010 and other similar statutory requirements prohibiting bribery and corruption in the jurisdictions in which we operate.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40" w:right="259" w:bottom="1440" w:gutter="0" w:footer="0" w:header="0"/>
        </w:sectPr>
      </w:pPr>
    </w:p>
    <w:bookmarkStart w:id="43" w:name="page44"/>
    <w:bookmarkEnd w:id="4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2" w:lineRule="exact"/>
        <w:rPr>
          <w:sz w:val="20"/>
          <w:szCs w:val="20"/>
          <w:color w:val="auto"/>
        </w:rPr>
      </w:pPr>
    </w:p>
    <w:p>
      <w:pPr>
        <w:ind w:right="340" w:firstLine="324"/>
        <w:spacing w:after="0" w:line="252"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need to reduce our prices or change our pricing model to remain competitive.</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that can be monitored, or the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mid-to large-size enterprises may demand substantial price discounts as part of the negotiation of sales contracts. As a result, we may be required or choose to reduce our prices or change our pricing model, which could adversely affect our business, operating results and financial condition.</w:t>
      </w:r>
    </w:p>
    <w:p>
      <w:pPr>
        <w:spacing w:after="0" w:line="185"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w:t>
      </w:r>
    </w:p>
    <w:p>
      <w:pPr>
        <w:spacing w:after="0" w:line="17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Our enterprise platform offerings are generally priced based on the number of IT assets or IP addresses that a customer chooses to monitor. As the amount of IT assets or IP addresses within our customers’ organizations grows, we may face pressure from our customers regarding our pricing, which could adversely affect our revenue and operating margins.</w:t>
      </w:r>
    </w:p>
    <w:p>
      <w:pPr>
        <w:spacing w:after="0" w:line="20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4" w:lineRule="exact"/>
        <w:rPr>
          <w:sz w:val="20"/>
          <w:szCs w:val="20"/>
          <w:color w:val="auto"/>
        </w:rPr>
      </w:pPr>
    </w:p>
    <w:p>
      <w:pPr>
        <w:ind w:right="64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75"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Tenable.io does not garner widespread market adoption and implementation, our operating results and competitive position could suffer.</w:t>
      </w:r>
    </w:p>
    <w:p>
      <w:pPr>
        <w:spacing w:after="0" w:line="209" w:lineRule="exact"/>
        <w:rPr>
          <w:sz w:val="20"/>
          <w:szCs w:val="20"/>
          <w:color w:val="auto"/>
        </w:rPr>
      </w:pPr>
    </w:p>
    <w:p>
      <w:pPr>
        <w:jc w:val="both"/>
        <w:ind w:right="280" w:firstLine="324"/>
        <w:spacing w:after="0" w:line="262" w:lineRule="auto"/>
        <w:rPr>
          <w:sz w:val="20"/>
          <w:szCs w:val="20"/>
          <w:color w:val="auto"/>
        </w:rPr>
      </w:pPr>
      <w:r>
        <w:rPr>
          <w:rFonts w:ascii="Arial" w:cs="Arial" w:eastAsia="Arial" w:hAnsi="Arial"/>
          <w:sz w:val="18"/>
          <w:szCs w:val="18"/>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0" w:right="259" w:bottom="1440" w:gutter="0" w:footer="0" w:header="0"/>
        </w:sectPr>
      </w:pPr>
    </w:p>
    <w:bookmarkStart w:id="44" w:name="page45"/>
    <w:bookmarkEnd w:id="4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700" w:firstLine="324"/>
        <w:spacing w:after="0" w:line="262"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8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predict market demand accurately in terms of functionality and to supply offerings that meets this demand in a timely fashion;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poor business conditions for our customers, causing them to delay IT purchases;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25"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18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87"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7"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35% and 33% of our revenue in the three months ended March 31, 2019 and 2018, respectively. Our growth strategy is dependent, in part, on our continued international expansion. We expect to conduct a significant amount of our business with organizations that are located outside the United States,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0" w:right="259" w:bottom="1440" w:gutter="0" w:footer="0" w:header="0"/>
        </w:sectPr>
      </w:pPr>
    </w:p>
    <w:bookmarkStart w:id="45" w:name="page46"/>
    <w:bookmarkEnd w:id="4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9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referendum in June 2016 in which voters approved an exit from the European Union, commonly referred to as “Brexit”;</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ind w:left="660" w:right="1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190" w:lineRule="exact"/>
        <w:rPr>
          <w:sz w:val="20"/>
          <w:szCs w:val="20"/>
          <w:color w:val="auto"/>
        </w:rPr>
      </w:pPr>
    </w:p>
    <w:p>
      <w:pPr>
        <w:ind w:right="760" w:firstLine="324"/>
        <w:spacing w:after="0" w:line="287"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40" w:right="279" w:bottom="1440" w:gutter="0" w:footer="0" w:header="0"/>
        </w:sectPr>
      </w:pPr>
    </w:p>
    <w:bookmarkStart w:id="46" w:name="page47"/>
    <w:bookmarkEnd w:id="4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including sales personnel, professional services personnel and software engineers, is intense. Our recruiting efforts focus on elite universities and our primary recruiting competition are well-known, high-paying firms.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effectively develop and expand our sales and marketing capabilities.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ability to increase our customer base and achieve broader market acceptance of our Cyber Exposure solutions will depend to a significant extent on our ability to expand our sales and marketing operations. We plan to continue expanding our sales force and our third-party channel partner network of distributors and resellers both domestically and internationally; however, there is no assurance that we will be successful in attracting and retaining talented sales personnel or strategic partners or that any new sales personnel or strategic partners will be able to achieve productivity in a reasonable period of time or at all. We also plan to dedicate significant resources to sales and marketing programs, including through electronic marketing campaigns and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47"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47" w:lineRule="exact"/>
        <w:rPr>
          <w:sz w:val="20"/>
          <w:szCs w:val="20"/>
          <w:color w:val="auto"/>
        </w:rPr>
      </w:pPr>
    </w:p>
    <w:p>
      <w:pPr>
        <w:ind w:right="200" w:firstLine="324"/>
        <w:spacing w:after="0" w:line="251"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For example, we developed our Industrial Security solution in partnership with Siemens.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w:t>
      </w:r>
    </w:p>
    <w:p>
      <w:pPr>
        <w:spacing w:after="0" w:line="21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 In the event of a major hurricane, earthquake or catastrophic event such as fire, power loss, telecommunications failure, cyberattack, war or terrorist attack,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0" w:right="259" w:bottom="1440" w:gutter="0" w:footer="0" w:header="0"/>
        </w:sectPr>
      </w:pPr>
    </w:p>
    <w:bookmarkStart w:id="47" w:name="page48"/>
    <w:bookmarkEnd w:id="4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acquisitions could disrupt our business and adversely affect our business operations and financial results.</w:t>
      </w:r>
    </w:p>
    <w:p>
      <w:pPr>
        <w:spacing w:after="0" w:line="247"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We have in the past acquired products and technologies from other parties, and we may choose to expand our current business by acquiring additional businesses or technologies in the future. Acquisitions involve many risks, including the following:</w:t>
      </w:r>
    </w:p>
    <w:p>
      <w:pPr>
        <w:spacing w:after="0" w:line="88" w:lineRule="exact"/>
        <w:rPr>
          <w:sz w:val="20"/>
          <w:szCs w:val="20"/>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9"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9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2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loan and security agreement with Silicon Valley Bank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have similar restrictive covenants.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9" w:lineRule="exact"/>
        <w:rPr>
          <w:sz w:val="20"/>
          <w:szCs w:val="20"/>
          <w:color w:val="auto"/>
        </w:rPr>
      </w:pPr>
    </w:p>
    <w:p>
      <w:pPr>
        <w:ind w:right="120" w:firstLine="324"/>
        <w:spacing w:after="0" w:line="269"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Significant changes in current principles will affect our consolidated financial statements and changes in financial accounting standards or practices may cause adverse, unexpected financial reporting fluctuations and harm our results of operations.</w:t>
      </w:r>
    </w:p>
    <w:p>
      <w:pPr>
        <w:spacing w:after="0" w:line="190"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or FASB, the Securities and Exchange Commission, or SEC, and various bodies formed to promulgate and interpret appropriate accounting principles. In addition, many companies’ accounting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0" w:right="259" w:bottom="1440" w:gutter="0" w:footer="0" w:header="0"/>
        </w:sectPr>
      </w:pPr>
    </w:p>
    <w:bookmarkStart w:id="48" w:name="page49"/>
    <w:bookmarkEnd w:id="4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disclosures are being subjected to heightened scrutiny by regulators and the public. Further, the accounting rules and regulations are continually changing in ways that could impact our financial statements.</w:t>
      </w:r>
    </w:p>
    <w:p>
      <w:pPr>
        <w:spacing w:after="0" w:line="174"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the determination of the estimated economic life of perpetual licenses for revenue recognition, the estimated period of benefit for deferred commissions,useful lives of long-lived assets, the valuation of stock-based compensation, including the estimated underlying fair value of our common stock prior to our IPO,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1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7"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state sales tax, value added, or other transaction taxes, and we could be subject to liability with respect to all or a portion of past or future sales.</w:t>
      </w:r>
    </w:p>
    <w:p>
      <w:pPr>
        <w:spacing w:after="0" w:line="17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w:t>
      </w:r>
    </w:p>
    <w:p>
      <w:pPr>
        <w:spacing w:after="0" w:line="20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solutions, or the imposition of new laws or regulations requiring the payment of additional taxes, would create increased costs and administrative burdens for us. If we are subject to additional taxes and determine to offset such increased costs by collecting and remitting sales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sales or otherwise harm our business and operating results.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As of December 31, 2018, we had federal, state, and foreign net operating loss carryforwards, or NOLs, of $85.9 million, $24.1 million, and $102.3 million, respectively, available to offset future taxable income, which begin to expire in 2030. A lack of future taxable income would adversely affect our ability to utilize these NOLs before they expire.</w:t>
      </w:r>
    </w:p>
    <w:p>
      <w:pPr>
        <w:spacing w:after="0" w:line="202"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0" w:right="259" w:bottom="1440" w:gutter="0" w:footer="0" w:header="0"/>
        </w:sectPr>
      </w:pPr>
    </w:p>
    <w:bookmarkStart w:id="49" w:name="page50"/>
    <w:bookmarkEnd w:id="4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ability to use NOLs if a company experiences a more-than-50-percent ownership change over a three-year testing period. Based upon an analysis as of December 31, 2017, we determined that we do not expect these limitations to impair our ability to use our NOLs prior to expiration. However, if changes in our ownership occur in the future, our ability to use our NOLs may be further limited. For these reasons, we may not be able to utilize a material portion of the NOLs, even if we achieve profitability.</w:t>
      </w:r>
    </w:p>
    <w:p>
      <w:pPr>
        <w:spacing w:after="0" w:line="182"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Uncertainties in the interpretation and application of the 2017 Tax Cuts and Jobs Act could materially affect our tax obligations and effective tax rate.</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our assessment of the need for valuation allowances,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1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December 22, 2017, U.S. Federal tax reform was enacted with the signing of the Tax Cuts and Jobs Act, or TCJA. Notable provisions of the TCJA included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We continue to examine the impact that the TCJA may have on our business. The impact of this tax reform on us and on holders of our common stock is uncertain and could materially impact our financial results.</w:t>
      </w:r>
    </w:p>
    <w:p>
      <w:pPr>
        <w:spacing w:after="0" w:line="17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to recipients in the public or private sector. We use third-party law firms, accountants, and other representatives for regulatory compliance, sales, and other purposes in several countries. We sell directly and indirectly, via third-party representatives, to the U.S. and non-U.S. government sectors, and our employees and third-party representatives interact with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0" w:right="259" w:bottom="1440" w:gutter="0" w:footer="0" w:header="0"/>
        </w:sectPr>
      </w:pPr>
    </w:p>
    <w:bookmarkStart w:id="50" w:name="page51"/>
    <w:bookmarkEnd w:id="5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0"/>
        <w:spacing w:after="0" w:line="28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21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1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1" w:name="page52"/>
    <w:bookmarkEnd w:id="5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204"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As of March 31, 2019, we had 15 issued patents and six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and “Tenable.io” names and our Tenable logo in the United States and certain other countries. We have registrations and/or pending applications for additional 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1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21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0" w:right="239" w:bottom="1440" w:gutter="0" w:footer="0" w:header="0"/>
        </w:sectPr>
      </w:pPr>
    </w:p>
    <w:bookmarkStart w:id="52" w:name="page53"/>
    <w:bookmarkEnd w:id="5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1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9"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1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0" w:right="239" w:bottom="1440" w:gutter="0" w:footer="0" w:header="0"/>
        </w:sectPr>
      </w:pPr>
    </w:p>
    <w:bookmarkStart w:id="53" w:name="page54"/>
    <w:bookmarkEnd w:id="5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9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ind w:left="660" w:right="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 or the perception that these sales might occur, including in connection with anticipated distributions of shares of our common stock by entities affiliated with members of our board of directors;</w:t>
      </w:r>
    </w:p>
    <w:p>
      <w:pPr>
        <w:ind w:left="660" w:right="54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public trading market may not continue to develop or be sustained.</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Prior to our initial public offering, or IPO, in July 2018, there was no public market or active private market for our common stock. Following our IPO, an active public trading market may not continue to develop or be sustained. The lack of an active market may impair your ability to sell your shares at the time you wish to sell them or at a price that</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140" w:right="299" w:bottom="1440" w:gutter="0" w:footer="0" w:header="0"/>
        </w:sectPr>
      </w:pPr>
    </w:p>
    <w:bookmarkStart w:id="54" w:name="page55"/>
    <w:bookmarkEnd w:id="5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0"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90"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they might occur, could reduce the price that our common stock might otherwise attain.</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including in connection with anticipated distributions of shares of our common stock by entities affiliated with members of our board of directors, could depress the market price of our common stock, impair our ability to raise capital through the sale of additional equity securities and make it more difficult for you to sell your common stock at a time and price that you deem appropriate.</w:t>
      </w:r>
    </w:p>
    <w:p>
      <w:pPr>
        <w:spacing w:after="0" w:line="204" w:lineRule="exact"/>
        <w:rPr>
          <w:sz w:val="20"/>
          <w:szCs w:val="20"/>
          <w:color w:val="auto"/>
        </w:rPr>
      </w:pPr>
    </w:p>
    <w:p>
      <w:pPr>
        <w:ind w:right="260" w:firstLine="324"/>
        <w:spacing w:after="0" w:line="251" w:lineRule="auto"/>
        <w:rPr>
          <w:sz w:val="20"/>
          <w:szCs w:val="20"/>
          <w:color w:val="auto"/>
        </w:rPr>
      </w:pPr>
      <w:r>
        <w:rPr>
          <w:rFonts w:ascii="Arial" w:cs="Arial" w:eastAsia="Arial" w:hAnsi="Arial"/>
          <w:sz w:val="18"/>
          <w:szCs w:val="18"/>
          <w:color w:val="auto"/>
        </w:rPr>
        <w:t>Upon the closing of our IPO, the 12,535,000 shares sold in the offering became freely tradable, and all the remaining shares of common stock outstanding at the time of our IPO became available for sale in the public market in January 2019 following the expiration of lock-up agreements between our stockholders and the underwriters for the IPO. Additionally, stockholders holding a substantial majority of the outstanding shares of our common stock have the right, subject to various conditions and limitations, to require us to file one or more registration statements covering their shares or to include their shares of our common stock in registration statements that we may file for ourselves or other stockholders. If the offer and sale of these shares are registered, they will be freely tradable without restriction under the Securities Act. Shares of common stock sold under such registration statements can be freely sold in the public market. In the event such registration rights are exercised and a large number of shares of common stock are sold in the public market, such sales could reduce the trading price of our common stock.</w:t>
      </w:r>
    </w:p>
    <w:p>
      <w:pPr>
        <w:spacing w:after="0" w:line="21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addition, we filed a registration statement on Form S-8 under the Securities Act registering the issuance of shares of common stock subject to options or other equity awards issued or reserved for future issuance under our equity incentive plans. Shares registered under this registration statement on Form S-8 are available for sale in the public market subject to vesting arrangements and exercise of options and the restrictions of Rule 144 under the Securities Act in the case of our affiliates.</w:t>
      </w:r>
    </w:p>
    <w:p>
      <w:pPr>
        <w:spacing w:after="0" w:line="182"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equity incentive plan or otherwise will dilute all other stockholders.</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certificate of incorporation authorizes us to issue up to 500,000,000 shares of common stock and up to 10,000,000 shares of preferred stock with such rights and preferences as may be determined by our board of directors. Subject to compliance with applicable rules and regulations, in the future we may issue common stock or other securities convertible into shares of our common stock from time to time in connection with a financing, acquisition, investment, our equity incentive plan or otherwise. The number of new shares of our common stock issued in connection with raising additional capital could constitute a material portion of the then outstanding shares of our common stock, which could result in substantial dilution to our existing stockholders and cause the market price of our common stock to decline.</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40" w:right="259" w:bottom="1440" w:gutter="0" w:footer="0" w:header="0"/>
        </w:sectPr>
      </w:pPr>
    </w:p>
    <w:bookmarkStart w:id="55" w:name="page56"/>
    <w:bookmarkEnd w:id="5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440" w:firstLine="324"/>
        <w:spacing w:after="0" w:line="269" w:lineRule="auto"/>
        <w:rPr>
          <w:sz w:val="20"/>
          <w:szCs w:val="20"/>
          <w:color w:val="auto"/>
        </w:rPr>
      </w:pPr>
      <w:r>
        <w:rPr>
          <w:rFonts w:ascii="Arial" w:cs="Arial" w:eastAsia="Arial" w:hAnsi="Arial"/>
          <w:sz w:val="18"/>
          <w:szCs w:val="18"/>
          <w:b w:val="1"/>
          <w:bCs w:val="1"/>
          <w:i w:val="1"/>
          <w:iCs w:val="1"/>
          <w:color w:val="auto"/>
        </w:rPr>
        <w:t>Concentration of ownership among our existing directors, executive officers and holders of 5% or more of our outstanding common stock may prevent new investors from influencing significant corporate decisions, including the ability to influence the outcome of director elections and other matters requiring stockholder approval.</w:t>
      </w:r>
    </w:p>
    <w:p>
      <w:pPr>
        <w:spacing w:after="0" w:line="190"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82"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As a public company, we are subject to the reporting and corporate governance requirements of the Exchange Act, the listing requirements of the Nasdaq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 particularly after we are no longer an “emerging growth company” as defined in the JOBS Act.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results of operations and prospects. Although we have already hired, and are in the process of hiring, additional personnel to help comply with these requirements, we may need to further expand our legal and finance departments in the future, which will increase our costs and expenses.</w:t>
      </w:r>
    </w:p>
    <w:p>
      <w:pPr>
        <w:spacing w:after="0" w:line="21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21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committee and compensation committee.</w:t>
      </w:r>
    </w:p>
    <w:p>
      <w:pPr>
        <w:spacing w:after="0" w:line="204"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In addition, as a result of our disclosure obligations as a public company, we may have reduced strategic flexibility and may be under pressure to focus on short-term results, which could materially and adversely affect our ability to achieve long-term profitability.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6" w:name="page57"/>
    <w:bookmarkEnd w:id="5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loan and security agreement with Silicon Valley Bank contains restrictive covenants that prohibit us, subject to certain exceptions, from paying dividends on our common stock.</w:t>
      </w:r>
    </w:p>
    <w:p>
      <w:pPr>
        <w:spacing w:after="0" w:line="187" w:lineRule="exact"/>
        <w:rPr>
          <w:sz w:val="20"/>
          <w:szCs w:val="20"/>
          <w:color w:val="auto"/>
        </w:rPr>
      </w:pPr>
    </w:p>
    <w:p>
      <w:pPr>
        <w:ind w:right="280" w:firstLine="324"/>
        <w:spacing w:after="0" w:line="269"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0"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for the year ending December 31, 2019.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will be required to disclose significant changes made in our internal control procedures on a quarterly basis.</w:t>
      </w:r>
    </w:p>
    <w:p>
      <w:pPr>
        <w:spacing w:after="0" w:line="20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06"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0" w:lineRule="exact"/>
        <w:rPr>
          <w:sz w:val="20"/>
          <w:szCs w:val="20"/>
          <w:color w:val="auto"/>
        </w:rPr>
      </w:pPr>
    </w:p>
    <w:p>
      <w:pPr>
        <w:ind w:right="220" w:firstLine="324"/>
        <w:spacing w:after="0" w:line="269"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6" w:lineRule="exact"/>
        <w:rPr>
          <w:sz w:val="20"/>
          <w:szCs w:val="20"/>
          <w:color w:val="auto"/>
        </w:rPr>
      </w:pPr>
    </w:p>
    <w:p>
      <w:pPr>
        <w:ind w:left="660" w:right="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ind w:left="660" w:right="38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0" w:right="239" w:bottom="1440" w:gutter="0" w:footer="0" w:header="0"/>
        </w:sectPr>
      </w:pPr>
    </w:p>
    <w:bookmarkStart w:id="57" w:name="page58"/>
    <w:bookmarkEnd w:id="5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1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ind w:left="660" w:right="24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jc w:val="both"/>
        <w:ind w:left="660" w:right="8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4" w:lineRule="exact"/>
        <w:rPr>
          <w:sz w:val="20"/>
          <w:szCs w:val="20"/>
          <w:color w:val="auto"/>
        </w:rPr>
      </w:pPr>
    </w:p>
    <w:p>
      <w:pPr>
        <w:ind w:right="180" w:firstLine="324"/>
        <w:spacing w:after="0" w:line="26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9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amended and restated certificate of incorporation or our amended and restated bylaws, or any action asserting a claim against us that is governed by the internal affairs doctrine. This exclusive forum provision, if permitted by applicable law, may limit a stockholder’s ability to bring a claim in a judicial forum that it finds favorable for disputes with us or our directors, officers or other employees, which may discourage such lawsuits against us and our directors, officers or other employees. If a court were to find this exclusive forum provision to be inapplicable or unenforceable in an action, we may incur additional costs associated with resolving such action in other jurisdictions, which could adversely affect our results of operations and financial condition.</w:t>
      </w:r>
    </w:p>
    <w:p>
      <w:pPr>
        <w:spacing w:after="0" w:line="21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 Recently, the Delaware Chancery Court issued an opinion invalidating such a provision. In light of that recent decision, we will not attempt to enforce this provision of our amended and restated certificate of incorporation to the extent it is not permitted by applicable law. As a result, we may incur additional costs associated with resolving disputes that would otherwise be restricted by that provision in other jurisdictions, which could seriously harm our business.</w:t>
      </w:r>
    </w:p>
    <w:p>
      <w:pPr>
        <w:spacing w:after="0" w:line="187" w:lineRule="exact"/>
        <w:rPr>
          <w:sz w:val="20"/>
          <w:szCs w:val="20"/>
          <w:color w:val="auto"/>
        </w:rPr>
      </w:pPr>
    </w:p>
    <w:p>
      <w:pPr>
        <w:ind w:right="920" w:firstLine="324"/>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7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0" w:right="239" w:bottom="1440" w:gutter="0" w:footer="0" w:header="0"/>
        </w:sectPr>
      </w:pPr>
    </w:p>
    <w:bookmarkStart w:id="58" w:name="page59"/>
    <w:bookmarkEnd w:id="5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and stockholder approval of any golden parachute payments not previously approved. We may take advantage of these exemptions until we are no longer an emerging growth company. We would cease to be an emerging growth company upon the earliest to occur of: (1) January 1, 2024, which is the beginning of the first fiscal year following the fifth anniversary of our IPO; (2) the first fiscal year after our annual gross revenue is $1.07 billion or more; (3) the date on which we have, during the previous three-year period, issued more than $1.0 billion in non-convertible debt securities; or (4) as of the end of any fiscal year in which the market value of our common stock held by non-affiliates exceeded $700.0 million as of the end of the second quarter of that fiscal year. We cannot predict if investors will find our common stock less attractive if we choose to rely on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4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on the registration statement were sold.</w:t>
      </w:r>
    </w:p>
    <w:p>
      <w:pPr>
        <w:spacing w:after="0" w:line="204"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We received net proceeds of $264.6 million after deducting underwriting discounts and commissions and offering expenses. No offering expenses incurred by us were paid directly or indirectly to any of our directors, officers or persons owning ten percent or more of our capital stock (or their associates or affiliates).</w:t>
      </w:r>
    </w:p>
    <w:p>
      <w:pPr>
        <w:spacing w:after="0" w:line="202" w:lineRule="exact"/>
        <w:rPr>
          <w:sz w:val="20"/>
          <w:szCs w:val="20"/>
          <w:color w:val="auto"/>
        </w:rPr>
      </w:pPr>
    </w:p>
    <w:p>
      <w:pPr>
        <w:jc w:val="both"/>
        <w:ind w:right="140" w:firstLine="324"/>
        <w:spacing w:after="0" w:line="262"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our IPO dated as of July 25, 2018 and filed with the SEC pursuant to Rule 424(b)(4) under the Securities Act on July 26,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00" w:lineRule="exact"/>
        <w:rPr>
          <w:sz w:val="20"/>
          <w:szCs w:val="20"/>
          <w:color w:val="auto"/>
        </w:rPr>
      </w:pP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140" w:right="419" w:bottom="1440" w:gutter="0" w:footer="0" w:header="0"/>
        </w:sectPr>
      </w:pPr>
    </w:p>
    <w:bookmarkStart w:id="59" w:name="page60"/>
    <w:bookmarkEnd w:id="5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ectPr>
          <w:pgSz w:w="11900" w:h="16838" w:orient="portrait"/>
          <w:cols w:equalWidth="0" w:num="1">
            <w:col w:w="11340"/>
          </w:cols>
          <w:pgMar w:left="240" w:top="140" w:right="319"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8"/>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340" w:type="dxa"/>
            <w:vAlign w:val="bottom"/>
            <w:gridSpan w:val="8"/>
          </w:tcPr>
          <w:p>
            <w:pPr>
              <w:ind w:left="2540"/>
              <w:spacing w:after="0"/>
              <w:rPr>
                <w:sz w:val="20"/>
                <w:szCs w:val="20"/>
                <w:color w:val="auto"/>
              </w:rPr>
            </w:pPr>
            <w:r>
              <w:rPr>
                <w:rFonts w:ascii="Arial" w:cs="Arial" w:eastAsia="Arial" w:hAnsi="Arial"/>
                <w:sz w:val="16"/>
                <w:szCs w:val="16"/>
                <w:b w:val="1"/>
                <w:bCs w:val="1"/>
                <w:color w:val="auto"/>
              </w:rPr>
              <w:t>Description</w:t>
            </w:r>
          </w:p>
        </w:tc>
      </w:tr>
      <w:tr>
        <w:trPr>
          <w:trHeight w:val="311"/>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700" w:type="dxa"/>
            <w:vAlign w:val="bottom"/>
            <w:tcBorders>
              <w:top w:val="single" w:sz="8" w:color="auto"/>
            </w:tcBorders>
            <w:gridSpan w:val="9"/>
          </w:tcPr>
          <w:p>
            <w:pPr>
              <w:spacing w:after="0"/>
              <w:rPr>
                <w:rFonts w:ascii="Arial" w:cs="Arial" w:eastAsia="Arial" w:hAnsi="Arial"/>
                <w:sz w:val="16"/>
                <w:szCs w:val="16"/>
                <w:color w:val="0000FF"/>
              </w:rPr>
            </w:pPr>
            <w:hyperlink r:id="rId9">
              <w:r>
                <w:rPr>
                  <w:rFonts w:ascii="Arial" w:cs="Arial" w:eastAsia="Arial" w:hAnsi="Arial"/>
                  <w:sz w:val="16"/>
                  <w:szCs w:val="16"/>
                  <w:color w:val="0000FF"/>
                </w:rPr>
                <w:t>Amended and Restated Certificate of Incorporation of Tenable Holdings, Inc.</w:t>
              </w:r>
            </w:hyperlink>
          </w:p>
        </w:tc>
      </w:tr>
      <w:tr>
        <w:trPr>
          <w:trHeight w:val="601"/>
        </w:trPr>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tcBorders>
              <w:top w:val="single" w:sz="8" w:color="0000FF"/>
              <w:bottom w:val="single" w:sz="8" w:color="0000FF"/>
            </w:tcBorders>
            <w:gridSpan w:val="3"/>
          </w:tcPr>
          <w:p>
            <w:pPr>
              <w:spacing w:after="0"/>
              <w:rPr>
                <w:rFonts w:ascii="Arial" w:cs="Arial" w:eastAsia="Arial" w:hAnsi="Arial"/>
                <w:sz w:val="16"/>
                <w:szCs w:val="16"/>
                <w:color w:val="0000FF"/>
              </w:rPr>
            </w:pPr>
            <w:hyperlink r:id="rId10">
              <w:r>
                <w:rPr>
                  <w:rFonts w:ascii="Arial" w:cs="Arial" w:eastAsia="Arial" w:hAnsi="Arial"/>
                  <w:sz w:val="16"/>
                  <w:szCs w:val="16"/>
                  <w:color w:val="0000FF"/>
                </w:rPr>
                <w:t>Amended and Restated Bylaws of Tenable Holdings, Inc.</w:t>
              </w:r>
            </w:hyperlink>
          </w:p>
        </w:tc>
        <w:tc>
          <w:tcPr>
            <w:tcW w:w="1380" w:type="dxa"/>
            <w:vAlign w:val="bottom"/>
            <w:tcBorders>
              <w:top w:val="single" w:sz="8" w:color="0000FF"/>
            </w:tcBorders>
          </w:tcPr>
          <w:p>
            <w:pPr>
              <w:spacing w:after="0"/>
              <w:rPr>
                <w:sz w:val="24"/>
                <w:szCs w:val="24"/>
                <w:color w:val="auto"/>
              </w:rPr>
            </w:pPr>
          </w:p>
        </w:tc>
        <w:tc>
          <w:tcPr>
            <w:tcW w:w="1240" w:type="dxa"/>
            <w:vAlign w:val="bottom"/>
            <w:gridSpan w:val="5"/>
          </w:tcPr>
          <w:p>
            <w:pPr>
              <w:spacing w:after="0"/>
              <w:rPr>
                <w:sz w:val="24"/>
                <w:szCs w:val="24"/>
                <w:color w:val="auto"/>
              </w:rPr>
            </w:pPr>
          </w:p>
        </w:tc>
      </w:tr>
      <w:tr>
        <w:trPr>
          <w:trHeight w:val="601"/>
        </w:trPr>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Borders>
              <w:bottom w:val="single" w:sz="8" w:color="0000FF"/>
            </w:tcBorders>
            <w:gridSpan w:val="2"/>
          </w:tcPr>
          <w:p>
            <w:pPr>
              <w:spacing w:after="0"/>
              <w:rPr>
                <w:rFonts w:ascii="Arial" w:cs="Arial" w:eastAsia="Arial" w:hAnsi="Arial"/>
                <w:sz w:val="16"/>
                <w:szCs w:val="16"/>
                <w:color w:val="0000FF"/>
              </w:rPr>
            </w:pPr>
            <w:hyperlink r:id="rId11">
              <w:r>
                <w:rPr>
                  <w:rFonts w:ascii="Arial" w:cs="Arial" w:eastAsia="Arial" w:hAnsi="Arial"/>
                  <w:sz w:val="16"/>
                  <w:szCs w:val="16"/>
                  <w:color w:val="0000FF"/>
                </w:rPr>
                <w:t>Common Stock Certificate of Tenable Holdings, Inc.</w:t>
              </w:r>
            </w:hyperlink>
          </w:p>
        </w:tc>
        <w:tc>
          <w:tcPr>
            <w:tcW w:w="3000" w:type="dxa"/>
            <w:vAlign w:val="bottom"/>
            <w:gridSpan w:val="7"/>
          </w:tcPr>
          <w:p>
            <w:pPr>
              <w:spacing w:after="0"/>
              <w:rPr>
                <w:sz w:val="24"/>
                <w:szCs w:val="24"/>
                <w:color w:val="auto"/>
              </w:rPr>
            </w:pPr>
          </w:p>
        </w:tc>
      </w:tr>
      <w:tr>
        <w:trPr>
          <w:trHeight w:val="601"/>
        </w:trPr>
        <w:tc>
          <w:tcPr>
            <w:tcW w:w="92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9"/>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Certification of the Principal Executive Officer pursuant to Rules 13a-14(a) and 15d-14(a)</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94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0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w:anchor="page62">
              <w:r>
                <w:rPr>
                  <w:rFonts w:ascii="Arial" w:cs="Arial" w:eastAsia="Arial" w:hAnsi="Arial"/>
                  <w:sz w:val="16"/>
                  <w:szCs w:val="16"/>
                  <w:color w:val="0000FF"/>
                </w:rPr>
                <w:t>under the Exchange Act, as adopted pursuant to Section 302 of the Sarbanes-Oxley Act of</w:t>
              </w:r>
            </w:hyperlink>
          </w:p>
        </w:tc>
        <w:tc>
          <w:tcPr>
            <w:tcW w:w="200" w:type="dxa"/>
            <w:vAlign w:val="bottom"/>
            <w:gridSpan w:val="2"/>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40"/>
              <w:spacing w:after="0" w:line="169" w:lineRule="exact"/>
              <w:rPr>
                <w:rFonts w:ascii="Arial" w:cs="Arial" w:eastAsia="Arial" w:hAnsi="Arial"/>
                <w:sz w:val="16"/>
                <w:szCs w:val="16"/>
                <w:color w:val="0000FF"/>
                <w:w w:val="95"/>
              </w:rPr>
            </w:pPr>
            <w:hyperlink w:anchor="page62">
              <w:r>
                <w:rPr>
                  <w:rFonts w:ascii="Arial" w:cs="Arial" w:eastAsia="Arial" w:hAnsi="Arial"/>
                  <w:sz w:val="16"/>
                  <w:szCs w:val="16"/>
                  <w:color w:val="0000FF"/>
                  <w:w w:val="95"/>
                </w:rPr>
                <w:t>2002</w:t>
              </w:r>
            </w:hyperlink>
          </w:p>
        </w:tc>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00" w:type="dxa"/>
            <w:vAlign w:val="bottom"/>
            <w:gridSpan w:val="9"/>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Certification of the Principal Financial Officer pursuant to Rules 13a-14(a) and 15d-14(a)</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0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0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w:anchor="page63">
              <w:r>
                <w:rPr>
                  <w:rFonts w:ascii="Arial" w:cs="Arial" w:eastAsia="Arial" w:hAnsi="Arial"/>
                  <w:sz w:val="16"/>
                  <w:szCs w:val="16"/>
                  <w:color w:val="0000FF"/>
                </w:rPr>
                <w:t>under the Exchange Act, as adopted pursuant to Section 302 of the Sarbanes-Oxley Act of</w:t>
              </w:r>
            </w:hyperlink>
          </w:p>
        </w:tc>
        <w:tc>
          <w:tcPr>
            <w:tcW w:w="200" w:type="dxa"/>
            <w:vAlign w:val="bottom"/>
            <w:gridSpan w:val="2"/>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40"/>
              <w:spacing w:after="0" w:line="169" w:lineRule="exact"/>
              <w:rPr>
                <w:rFonts w:ascii="Arial" w:cs="Arial" w:eastAsia="Arial" w:hAnsi="Arial"/>
                <w:sz w:val="16"/>
                <w:szCs w:val="16"/>
                <w:color w:val="0000FF"/>
                <w:w w:val="95"/>
              </w:rPr>
            </w:pPr>
            <w:hyperlink w:anchor="page63">
              <w:r>
                <w:rPr>
                  <w:rFonts w:ascii="Arial" w:cs="Arial" w:eastAsia="Arial" w:hAnsi="Arial"/>
                  <w:sz w:val="16"/>
                  <w:szCs w:val="16"/>
                  <w:color w:val="0000FF"/>
                  <w:w w:val="95"/>
                </w:rPr>
                <w:t>2002</w:t>
              </w:r>
            </w:hyperlink>
          </w:p>
        </w:tc>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560" w:type="dxa"/>
            <w:vAlign w:val="bottom"/>
            <w:tcBorders>
              <w:bottom w:val="single" w:sz="8" w:color="0000FF"/>
            </w:tcBorders>
            <w:gridSpan w:val="8"/>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Certification of the Principal Executive Officer and the Principal Financial Officer pursuant to</w:t>
              </w:r>
            </w:hyperlink>
          </w:p>
        </w:tc>
        <w:tc>
          <w:tcPr>
            <w:tcW w:w="140" w:type="dxa"/>
            <w:vAlign w:val="bottom"/>
          </w:tcPr>
          <w:p>
            <w:pPr>
              <w:spacing w:after="0"/>
              <w:rPr>
                <w:sz w:val="19"/>
                <w:szCs w:val="19"/>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6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w:anchor="page64">
              <w:r>
                <w:rPr>
                  <w:rFonts w:ascii="Arial" w:cs="Arial" w:eastAsia="Arial" w:hAnsi="Arial"/>
                  <w:sz w:val="16"/>
                  <w:szCs w:val="16"/>
                  <w:color w:val="0000FF"/>
                </w:rPr>
                <w:t>18 U.S.C. Section 1350, as adopted pursuant to Section 906 of the Sarbanes-Oxley Act of</w:t>
              </w:r>
            </w:hyperlink>
          </w:p>
        </w:tc>
        <w:tc>
          <w:tcPr>
            <w:tcW w:w="240" w:type="dxa"/>
            <w:vAlign w:val="bottom"/>
            <w:gridSpan w:val="3"/>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40"/>
              <w:spacing w:after="0" w:line="169" w:lineRule="exact"/>
              <w:rPr>
                <w:rFonts w:ascii="Arial" w:cs="Arial" w:eastAsia="Arial" w:hAnsi="Arial"/>
                <w:sz w:val="16"/>
                <w:szCs w:val="16"/>
                <w:color w:val="0000FF"/>
                <w:w w:val="95"/>
              </w:rPr>
            </w:pPr>
            <w:hyperlink w:anchor="page64">
              <w:r>
                <w:rPr>
                  <w:rFonts w:ascii="Arial" w:cs="Arial" w:eastAsia="Arial" w:hAnsi="Arial"/>
                  <w:sz w:val="16"/>
                  <w:szCs w:val="16"/>
                  <w:color w:val="0000FF"/>
                  <w:w w:val="95"/>
                </w:rPr>
                <w:t>2002</w:t>
              </w:r>
            </w:hyperlink>
          </w:p>
        </w:tc>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3.1 to the Company's Current Report on Form 8-K (File No. 001-38600) on July 30, 2018</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3.4 to the Company's Registration Statement on Form S-1 (File No. 333-226002) on June 29, 2018</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4.1 to the Company's Registration Statement on Form S-1 (File No. 333-226002) on July 16, 2018</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436" w:lineRule="exact"/>
        <w:rPr>
          <w:sz w:val="20"/>
          <w:szCs w:val="20"/>
          <w:color w:val="auto"/>
        </w:rPr>
      </w:pPr>
    </w:p>
    <w:p>
      <w:pPr>
        <w:sectPr>
          <w:pgSz w:w="11900" w:h="16838" w:orient="portrait"/>
          <w:cols w:equalWidth="0" w:num="2">
            <w:col w:w="7780" w:space="140"/>
            <w:col w:w="3420"/>
          </w:cols>
          <w:pgMar w:left="240" w:top="140" w:right="319" w:bottom="1440" w:gutter="0" w:footer="0" w:header="0"/>
          <w:type w:val="continuous"/>
        </w:sectPr>
      </w:pPr>
    </w:p>
    <w:tbl>
      <w:tblPr>
        <w:tblLayout w:type="fixed"/>
        <w:tblInd w:w="240" w:type="dxa"/>
        <w:tblCellMar>
          <w:top w:w="0" w:type="dxa"/>
          <w:left w:w="0" w:type="dxa"/>
          <w:bottom w:w="0" w:type="dxa"/>
          <w:right w:w="0" w:type="dxa"/>
        </w:tblCellMar>
      </w:tblPr>
      <w:tr>
        <w:trPr>
          <w:trHeight w:val="222"/>
        </w:trPr>
        <w:tc>
          <w:tcPr>
            <w:tcW w:w="740" w:type="dxa"/>
            <w:vAlign w:val="bottom"/>
          </w:tcPr>
          <w:p>
            <w:pPr>
              <w:jc w:val="right"/>
              <w:spacing w:after="0"/>
              <w:rPr>
                <w:sz w:val="20"/>
                <w:szCs w:val="20"/>
                <w:color w:val="auto"/>
              </w:rPr>
            </w:pPr>
            <w:r>
              <w:rPr>
                <w:rFonts w:ascii="Arial" w:cs="Arial" w:eastAsia="Arial" w:hAnsi="Arial"/>
                <w:sz w:val="16"/>
                <w:szCs w:val="16"/>
                <w:color w:val="auto"/>
                <w:w w:val="98"/>
              </w:rPr>
              <w:t>101.SCH</w:t>
            </w:r>
          </w:p>
        </w:tc>
        <w:tc>
          <w:tcPr>
            <w:tcW w:w="4540" w:type="dxa"/>
            <w:vAlign w:val="bottom"/>
          </w:tcPr>
          <w:p>
            <w:pPr>
              <w:ind w:left="100"/>
              <w:spacing w:after="0"/>
              <w:rPr>
                <w:sz w:val="20"/>
                <w:szCs w:val="20"/>
                <w:color w:val="auto"/>
              </w:rPr>
            </w:pPr>
            <w:r>
              <w:rPr>
                <w:rFonts w:ascii="Arial" w:cs="Arial" w:eastAsia="Arial" w:hAnsi="Arial"/>
                <w:sz w:val="16"/>
                <w:szCs w:val="16"/>
                <w:color w:val="auto"/>
              </w:rPr>
              <w:t>XBRL Taxonomy Extension Schema Document.</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101.CAL</w:t>
            </w:r>
          </w:p>
        </w:tc>
        <w:tc>
          <w:tcPr>
            <w:tcW w:w="4540" w:type="dxa"/>
            <w:vAlign w:val="bottom"/>
          </w:tcPr>
          <w:p>
            <w:pPr>
              <w:ind w:left="10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101.DEF</w:t>
            </w:r>
          </w:p>
        </w:tc>
        <w:tc>
          <w:tcPr>
            <w:tcW w:w="4540" w:type="dxa"/>
            <w:vAlign w:val="bottom"/>
          </w:tcPr>
          <w:p>
            <w:pPr>
              <w:ind w:left="100"/>
              <w:spacing w:after="0"/>
              <w:rPr>
                <w:sz w:val="20"/>
                <w:szCs w:val="20"/>
                <w:color w:val="auto"/>
              </w:rPr>
            </w:pPr>
            <w:r>
              <w:rPr>
                <w:rFonts w:ascii="Arial" w:cs="Arial" w:eastAsia="Arial" w:hAnsi="Arial"/>
                <w:sz w:val="16"/>
                <w:szCs w:val="16"/>
                <w:color w:val="auto"/>
              </w:rPr>
              <w:t>XBRL Taxonomy Extension Definition Linkbase Document.</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rPr>
              <w:t>101.LAB</w:t>
            </w:r>
          </w:p>
        </w:tc>
        <w:tc>
          <w:tcPr>
            <w:tcW w:w="4540" w:type="dxa"/>
            <w:vAlign w:val="bottom"/>
          </w:tcPr>
          <w:p>
            <w:pPr>
              <w:ind w:left="100"/>
              <w:spacing w:after="0"/>
              <w:rPr>
                <w:sz w:val="20"/>
                <w:szCs w:val="20"/>
                <w:color w:val="auto"/>
              </w:rPr>
            </w:pPr>
            <w:r>
              <w:rPr>
                <w:rFonts w:ascii="Arial" w:cs="Arial" w:eastAsia="Arial" w:hAnsi="Arial"/>
                <w:sz w:val="16"/>
                <w:szCs w:val="16"/>
                <w:color w:val="auto"/>
              </w:rPr>
              <w:t>XBRL Taxonomy Extension Label Linkbase Document.</w:t>
            </w:r>
          </w:p>
        </w:tc>
      </w:tr>
      <w:tr>
        <w:trPr>
          <w:trHeight w:val="270"/>
        </w:trPr>
        <w:tc>
          <w:tcPr>
            <w:tcW w:w="740" w:type="dxa"/>
            <w:vAlign w:val="bottom"/>
          </w:tcPr>
          <w:p>
            <w:pPr>
              <w:jc w:val="right"/>
              <w:spacing w:after="0"/>
              <w:rPr>
                <w:sz w:val="20"/>
                <w:szCs w:val="20"/>
                <w:color w:val="auto"/>
              </w:rPr>
            </w:pPr>
            <w:r>
              <w:rPr>
                <w:rFonts w:ascii="Arial" w:cs="Arial" w:eastAsia="Arial" w:hAnsi="Arial"/>
                <w:sz w:val="16"/>
                <w:szCs w:val="16"/>
                <w:color w:val="auto"/>
                <w:w w:val="99"/>
              </w:rPr>
              <w:t>101.PRE</w:t>
            </w:r>
          </w:p>
        </w:tc>
        <w:tc>
          <w:tcPr>
            <w:tcW w:w="4540" w:type="dxa"/>
            <w:vAlign w:val="bottom"/>
          </w:tcPr>
          <w:p>
            <w:pPr>
              <w:ind w:left="10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4" w:lineRule="exact"/>
        <w:rPr>
          <w:sz w:val="20"/>
          <w:szCs w:val="20"/>
          <w:color w:val="auto"/>
        </w:rPr>
      </w:pPr>
    </w:p>
    <w:p>
      <w:pPr>
        <w:ind w:right="280" w:firstLine="332"/>
        <w:spacing w:after="0" w:line="256"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140" w:right="319" w:bottom="1440" w:gutter="0" w:footer="0" w:header="0"/>
          <w:type w:val="continuous"/>
        </w:sectPr>
      </w:pPr>
    </w:p>
    <w:bookmarkStart w:id="60" w:name="page61"/>
    <w:bookmarkEnd w:id="6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840" w:type="dxa"/>
            <w:vAlign w:val="bottom"/>
            <w:gridSpan w:val="2"/>
          </w:tcPr>
          <w:p>
            <w:pPr>
              <w:ind w:left="1320"/>
              <w:spacing w:after="0"/>
              <w:rPr>
                <w:sz w:val="20"/>
                <w:szCs w:val="20"/>
                <w:color w:val="auto"/>
              </w:rPr>
            </w:pPr>
            <w:r>
              <w:rPr>
                <w:rFonts w:ascii="Arial" w:cs="Arial" w:eastAsia="Arial" w:hAnsi="Arial"/>
                <w:sz w:val="18"/>
                <w:szCs w:val="18"/>
                <w:b w:val="1"/>
                <w:bCs w:val="1"/>
                <w:color w:val="auto"/>
              </w:rPr>
              <w:t>TENABLE HOLDINGS, INC.</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360" w:type="dxa"/>
            <w:vAlign w:val="bottom"/>
          </w:tcPr>
          <w:p>
            <w:pPr>
              <w:ind w:left="60"/>
              <w:spacing w:after="0"/>
              <w:rPr>
                <w:sz w:val="20"/>
                <w:szCs w:val="20"/>
                <w:color w:val="auto"/>
              </w:rPr>
            </w:pPr>
            <w:r>
              <w:rPr>
                <w:rFonts w:ascii="Arial" w:cs="Arial" w:eastAsia="Arial" w:hAnsi="Arial"/>
                <w:sz w:val="18"/>
                <w:szCs w:val="18"/>
                <w:color w:val="auto"/>
              </w:rPr>
              <w:t>May 9, 2019</w:t>
            </w:r>
          </w:p>
        </w:tc>
        <w:tc>
          <w:tcPr>
            <w:tcW w:w="6840" w:type="dxa"/>
            <w:vAlign w:val="bottom"/>
            <w:gridSpan w:val="2"/>
          </w:tcPr>
          <w:p>
            <w:pPr>
              <w:ind w:left="1320"/>
              <w:spacing w:after="0"/>
              <w:rPr>
                <w:sz w:val="20"/>
                <w:szCs w:val="20"/>
                <w:color w:val="auto"/>
              </w:rPr>
            </w:pPr>
            <w:r>
              <w:rPr>
                <w:rFonts w:ascii="Arial" w:cs="Arial" w:eastAsia="Arial" w:hAnsi="Arial"/>
                <w:sz w:val="18"/>
                <w:szCs w:val="18"/>
                <w:color w:val="auto"/>
              </w:rPr>
              <w:t>By: /s/ Amit Yoran</w:t>
            </w:r>
          </w:p>
        </w:tc>
      </w:tr>
      <w:tr>
        <w:trPr>
          <w:trHeight w:val="243"/>
        </w:trPr>
        <w:tc>
          <w:tcPr>
            <w:tcW w:w="5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Amit Yoran</w:t>
            </w:r>
          </w:p>
        </w:tc>
      </w:tr>
      <w:tr>
        <w:trPr>
          <w:trHeight w:val="270"/>
        </w:trPr>
        <w:tc>
          <w:tcPr>
            <w:tcW w:w="5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(On Behalf of the Registrant and as Principal Executive Officer)</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360" w:type="dxa"/>
            <w:vAlign w:val="bottom"/>
          </w:tcPr>
          <w:p>
            <w:pPr>
              <w:ind w:left="60"/>
              <w:spacing w:after="0"/>
              <w:rPr>
                <w:sz w:val="20"/>
                <w:szCs w:val="20"/>
                <w:color w:val="auto"/>
              </w:rPr>
            </w:pPr>
            <w:r>
              <w:rPr>
                <w:rFonts w:ascii="Arial" w:cs="Arial" w:eastAsia="Arial" w:hAnsi="Arial"/>
                <w:sz w:val="18"/>
                <w:szCs w:val="18"/>
                <w:color w:val="auto"/>
              </w:rPr>
              <w:t>May 9, 2019</w:t>
            </w:r>
          </w:p>
        </w:tc>
        <w:tc>
          <w:tcPr>
            <w:tcW w:w="6840" w:type="dxa"/>
            <w:vAlign w:val="bottom"/>
            <w:gridSpan w:val="2"/>
          </w:tcPr>
          <w:p>
            <w:pPr>
              <w:ind w:left="1320"/>
              <w:spacing w:after="0"/>
              <w:rPr>
                <w:sz w:val="20"/>
                <w:szCs w:val="20"/>
                <w:color w:val="auto"/>
              </w:rPr>
            </w:pPr>
            <w:r>
              <w:rPr>
                <w:rFonts w:ascii="Arial" w:cs="Arial" w:eastAsia="Arial" w:hAnsi="Arial"/>
                <w:sz w:val="18"/>
                <w:szCs w:val="18"/>
                <w:color w:val="auto"/>
              </w:rPr>
              <w:t>By: /s/ Stephen A. Vintz</w:t>
            </w:r>
          </w:p>
        </w:tc>
      </w:tr>
      <w:tr>
        <w:trPr>
          <w:trHeight w:val="243"/>
        </w:trPr>
        <w:tc>
          <w:tcPr>
            <w:tcW w:w="5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70"/>
        </w:trPr>
        <w:tc>
          <w:tcPr>
            <w:tcW w:w="5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905"/>
        </w:trPr>
        <w:tc>
          <w:tcPr>
            <w:tcW w:w="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40" w:type="dxa"/>
            <w:vAlign w:val="bottom"/>
            <w:gridSpan w:val="2"/>
          </w:tcPr>
          <w:p>
            <w:pPr>
              <w:jc w:val="right"/>
              <w:ind w:right="383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200"/>
          </w:cols>
          <w:pgMar w:left="240" w:top="140" w:right="4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359"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225" w:lineRule="exact"/>
        <w:rPr>
          <w:sz w:val="20"/>
          <w:szCs w:val="20"/>
          <w:color w:val="auto"/>
        </w:rPr>
      </w:pPr>
    </w:p>
    <w:p>
      <w:pPr>
        <w:ind w:left="500" w:hanging="46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60" w:hanging="46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160" w:hanging="465"/>
        <w:spacing w:after="0" w:line="246"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00" w:right="240" w:hanging="465"/>
        <w:spacing w:after="0" w:line="246"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080" w:right="60" w:hanging="57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80" w:right="340" w:hanging="57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160" w:hanging="57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140" w:hanging="46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60" w:hanging="572"/>
        <w:spacing w:after="0" w:line="246" w:lineRule="auto"/>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80" w:right="260" w:hanging="572"/>
        <w:spacing w:after="0" w:line="246" w:lineRule="auto"/>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and Chief Executive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8"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30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225" w:lineRule="exact"/>
        <w:rPr>
          <w:sz w:val="20"/>
          <w:szCs w:val="20"/>
          <w:color w:val="auto"/>
        </w:rPr>
      </w:pPr>
    </w:p>
    <w:p>
      <w:pPr>
        <w:ind w:left="500" w:hanging="465"/>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60" w:hanging="465"/>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160" w:hanging="465"/>
        <w:spacing w:after="0" w:line="246"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00" w:right="240" w:hanging="465"/>
        <w:spacing w:after="0" w:line="246"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080" w:right="60" w:hanging="57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80" w:right="340" w:hanging="57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160" w:hanging="57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140" w:hanging="465"/>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60" w:hanging="572"/>
        <w:spacing w:after="0" w:line="246" w:lineRule="auto"/>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80" w:right="260" w:hanging="572"/>
        <w:spacing w:after="0" w:line="246" w:lineRule="auto"/>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118"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30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Quarterly Report on Form 10-Q of Tenable Holdings, Inc. for the fiscal quarter ended March 31, 2019 fully complies with the requirements of Section 13(a) or 15(d) of the Securities Exchange Act of 1934 and that information contained in such Quarterly Report on Form 10-Q fairly presents, in all material respects, the financial condition and results of operations of Tenable Holdings, Inc.</w:t>
      </w:r>
    </w:p>
    <w:p>
      <w:pPr>
        <w:spacing w:after="0" w:line="366"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and Chief Executive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pacing w:after="0" w:line="392"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7"/>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9" Type="http://schemas.openxmlformats.org/officeDocument/2006/relationships/hyperlink" Target="http://www.sec.gov/Archives/edgar/data/1660280/000119312518231446/d562353dex31.htm" TargetMode="External"/><Relationship Id="rId10" Type="http://schemas.openxmlformats.org/officeDocument/2006/relationships/hyperlink" Target="http://www.sec.gov/Archives/edgar/data/1660280/000119312518209705/d548092dex34.htm" TargetMode="External"/><Relationship Id="rId11" Type="http://schemas.openxmlformats.org/officeDocument/2006/relationships/hyperlink" Target="http://www.sec.gov/Archives/edgar/data/1660280/000119312518218215/d54809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2019-12-28T12:19:39Z</dcterms:created>
  <dcterms:modified xsi:type="dcterms:W3CDTF">2019-12-28T12:19:39Z</dcterms:modified>
</cp:coreProperties>
</file>