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78565.xml.htm"/>
      <w:bookmarkStart w:id="1" w:name="kswkform4_17864785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Vicks Raymond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TENABLE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6100 MERRIWEATHER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Tenable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TENB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2"/>
        <w:gridCol w:w="921"/>
        <w:gridCol w:w="789"/>
        <w:gridCol w:w="611"/>
        <w:gridCol w:w="347"/>
        <w:gridCol w:w="834"/>
        <w:gridCol w:w="440"/>
        <w:gridCol w:w="758"/>
        <w:gridCol w:w="1146"/>
        <w:gridCol w:w="989"/>
        <w:gridCol w:w="118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1,819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35.94</w:t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20,509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4,500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 Custodian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for the granddaughter of the Reporting Person, through a custodial account established pursuant to the Uniform Transfer to Minors Act ("UTMA") for which the reporting person serves as custodian.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Bartholomew,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78127" TargetMode="External"/><Relationship Id="rId5" Type="http://schemas.openxmlformats.org/officeDocument/2006/relationships/hyperlink" Target="http://www.sec.gov/cgi-bin/browse-edgar?action=getcompany&amp;CIK=00016602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3409</Characters>
  <CharactersWithSpaces>3962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